
<file path=[Content_Types].xml><?xml version="1.0" encoding="utf-8"?>
<Types xmlns="http://schemas.openxmlformats.org/package/2006/content-types">
  <Default Extension="xml" ContentType="application/xml"/>
  <Default Extension="tiff" ContentType="image/tif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08B46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366B8A48">
            <w:pPr>
              <w:pStyle w:val="19"/>
              <w:framePr w:wrap="notBeside" w:vAnchor="page" w:hAnchor="page" w:x="1372" w:y="568"/>
              <w:tabs>
                <w:tab w:val="clear" w:pos="4153"/>
                <w:tab w:val="clear" w:pos="8306"/>
              </w:tabs>
              <w:spacing w:line="240" w:lineRule="auto"/>
              <w:jc w:val="left"/>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ICS  </w:t>
            </w:r>
          </w:p>
        </w:tc>
        <w:tc>
          <w:tcPr>
            <w:tcW w:w="8855" w:type="dxa"/>
          </w:tcPr>
          <w:p w14:paraId="56A4BB5B">
            <w:pPr>
              <w:pStyle w:val="19"/>
              <w:framePr w:wrap="notBeside" w:vAnchor="page" w:hAnchor="page" w:x="1372" w:y="568"/>
              <w:tabs>
                <w:tab w:val="clear" w:pos="4153"/>
                <w:tab w:val="clear" w:pos="8306"/>
              </w:tabs>
              <w:spacing w:line="240" w:lineRule="auto"/>
              <w:jc w:val="both"/>
              <w:rPr>
                <w:rFonts w:hint="default" w:ascii="Times New Roman" w:hAnsi="Times New Roman" w:eastAsia="黑体" w:cs="Times New Roman"/>
                <w:sz w:val="21"/>
                <w:szCs w:val="21"/>
              </w:rPr>
            </w:pPr>
            <w:r>
              <w:rPr>
                <w:rFonts w:hint="default" w:ascii="Times New Roman" w:hAnsi="Times New Roman" w:eastAsia="黑体" w:cs="Times New Roman"/>
                <w:sz w:val="21"/>
                <w:szCs w:val="21"/>
              </w:rPr>
              <w:fldChar w:fldCharType="begin">
                <w:ffData>
                  <w:name w:val="ICS"/>
                  <w:enabled/>
                  <w:calcOnExit w:val="0"/>
                  <w:textInput>
                    <w:default w:val="点击此处添加ICS号"/>
                  </w:textInput>
                </w:ffData>
              </w:fldChar>
            </w:r>
            <w:bookmarkStart w:id="0" w:name="ICS"/>
            <w:r>
              <w:rPr>
                <w:rFonts w:hint="default" w:ascii="Times New Roman" w:hAnsi="Times New Roman" w:eastAsia="黑体" w:cs="Times New Roman"/>
                <w:sz w:val="21"/>
                <w:szCs w:val="21"/>
              </w:rPr>
              <w:instrText xml:space="preserve"> FORMTEXT </w:instrText>
            </w:r>
            <w:r>
              <w:rPr>
                <w:rFonts w:hint="default" w:ascii="Times New Roman" w:hAnsi="Times New Roman" w:eastAsia="黑体" w:cs="Times New Roman"/>
                <w:sz w:val="21"/>
                <w:szCs w:val="21"/>
              </w:rPr>
              <w:fldChar w:fldCharType="separate"/>
            </w:r>
            <w:r>
              <w:rPr>
                <w:rFonts w:hint="default" w:ascii="Times New Roman" w:hAnsi="Times New Roman" w:eastAsia="黑体" w:cs="Times New Roman"/>
                <w:sz w:val="21"/>
                <w:szCs w:val="21"/>
              </w:rPr>
              <w:t xml:space="preserve">93.160 </w:t>
            </w:r>
            <w:r>
              <w:rPr>
                <w:rFonts w:hint="default" w:ascii="Times New Roman" w:hAnsi="Times New Roman" w:eastAsia="黑体" w:cs="Times New Roman"/>
                <w:sz w:val="21"/>
                <w:szCs w:val="21"/>
              </w:rPr>
              <w:fldChar w:fldCharType="end"/>
            </w:r>
            <w:bookmarkEnd w:id="0"/>
          </w:p>
        </w:tc>
      </w:tr>
      <w:tr w14:paraId="22AC1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0C93889E">
            <w:pPr>
              <w:pStyle w:val="19"/>
              <w:framePr w:wrap="notBeside" w:vAnchor="page" w:hAnchor="page" w:x="1372" w:y="568"/>
              <w:tabs>
                <w:tab w:val="clear" w:pos="4153"/>
                <w:tab w:val="clear" w:pos="8306"/>
              </w:tabs>
              <w:spacing w:before="40" w:line="240" w:lineRule="auto"/>
              <w:jc w:val="left"/>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CCS  </w:t>
            </w:r>
          </w:p>
        </w:tc>
        <w:tc>
          <w:tcPr>
            <w:tcW w:w="8855" w:type="dxa"/>
          </w:tcPr>
          <w:p w14:paraId="12ECD4CA">
            <w:pPr>
              <w:pStyle w:val="19"/>
              <w:framePr w:wrap="notBeside" w:vAnchor="page" w:hAnchor="page" w:x="1372" w:y="568"/>
              <w:tabs>
                <w:tab w:val="clear" w:pos="4153"/>
                <w:tab w:val="clear" w:pos="8306"/>
              </w:tabs>
              <w:spacing w:before="40" w:line="240" w:lineRule="auto"/>
              <w:jc w:val="left"/>
              <w:rPr>
                <w:rFonts w:hint="default" w:ascii="Times New Roman" w:hAnsi="Times New Roman" w:eastAsia="黑体" w:cs="Times New Roman"/>
                <w:sz w:val="21"/>
                <w:szCs w:val="21"/>
              </w:rPr>
            </w:pPr>
            <w:r>
              <w:rPr>
                <w:rFonts w:hint="default" w:ascii="Times New Roman" w:hAnsi="Times New Roman" w:eastAsia="黑体" w:cs="Times New Roman"/>
                <w:sz w:val="21"/>
                <w:szCs w:val="21"/>
              </w:rPr>
              <w:fldChar w:fldCharType="begin">
                <w:ffData>
                  <w:name w:val="CSDN"/>
                  <w:enabled/>
                  <w:calcOnExit w:val="0"/>
                  <w:textInput>
                    <w:default w:val="点击此处添加CCS号"/>
                  </w:textInput>
                </w:ffData>
              </w:fldChar>
            </w:r>
            <w:bookmarkStart w:id="1" w:name="CSDN"/>
            <w:r>
              <w:rPr>
                <w:rFonts w:hint="default" w:ascii="Times New Roman" w:hAnsi="Times New Roman" w:eastAsia="黑体" w:cs="Times New Roman"/>
                <w:sz w:val="21"/>
                <w:szCs w:val="21"/>
              </w:rPr>
              <w:instrText xml:space="preserve"> FORMTEXT </w:instrText>
            </w:r>
            <w:r>
              <w:rPr>
                <w:rFonts w:hint="default" w:ascii="Times New Roman" w:hAnsi="Times New Roman" w:eastAsia="黑体" w:cs="Times New Roman"/>
                <w:sz w:val="21"/>
                <w:szCs w:val="21"/>
              </w:rPr>
              <w:fldChar w:fldCharType="separate"/>
            </w:r>
            <w:r>
              <w:rPr>
                <w:rFonts w:hint="default" w:ascii="Times New Roman" w:hAnsi="Times New Roman" w:eastAsia="黑体" w:cs="Times New Roman"/>
                <w:sz w:val="21"/>
                <w:szCs w:val="21"/>
              </w:rPr>
              <w:t>P55</w:t>
            </w:r>
            <w:r>
              <w:rPr>
                <w:rFonts w:hint="default" w:ascii="Times New Roman" w:hAnsi="Times New Roman" w:eastAsia="黑体" w:cs="Times New Roman"/>
                <w:sz w:val="21"/>
                <w:szCs w:val="21"/>
              </w:rPr>
              <w:fldChar w:fldCharType="end"/>
            </w:r>
            <w:bookmarkEnd w:id="1"/>
          </w:p>
        </w:tc>
      </w:tr>
    </w:tbl>
    <w:tbl>
      <w:tblPr>
        <w:tblStyle w:val="29"/>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4EC1F837">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3EE7695D">
            <w:pPr>
              <w:pStyle w:val="51"/>
              <w:framePr w:w="0" w:hRule="auto" w:wrap="auto" w:vAnchor="margin" w:hAnchor="text" w:xAlign="left" w:yAlign="inline"/>
              <w:rPr>
                <w:rFonts w:hint="default" w:ascii="Times New Roman" w:hAnsi="Times New Roman" w:cs="Times New Roman"/>
                <w:sz w:val="28"/>
                <w:szCs w:val="28"/>
              </w:rPr>
            </w:pPr>
            <w:bookmarkStart w:id="2" w:name="_Hlk26473981"/>
            <w:r>
              <w:rPr>
                <w:rFonts w:hint="default" w:ascii="Times New Roman" w:hAnsi="Times New Roman" w:cs="Times New Roman"/>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rFonts w:hint="default" w:ascii="Times New Roman" w:hAnsi="Times New Roman" w:cs="Times New Roman"/>
                <w:sz w:val="21"/>
                <w:szCs w:val="21"/>
              </w:rPr>
              <w:t xml:space="preserve"> </w:t>
            </w:r>
            <w:r>
              <w:rPr>
                <w:rFonts w:hint="default" w:ascii="Times New Roman" w:hAnsi="Times New Roman" w:cs="Times New Roman"/>
              </w:rPr>
              <w:fldChar w:fldCharType="begin">
                <w:ffData>
                  <w:name w:val="c1"/>
                  <w:enabled/>
                  <w:calcOnExit w:val="0"/>
                  <w:textInput>
                    <w:maxLength w:val="8"/>
                  </w:textInput>
                </w:ffData>
              </w:fldChar>
            </w:r>
            <w:bookmarkStart w:id="3" w:name="c1"/>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64</w:t>
            </w:r>
            <w:r>
              <w:rPr>
                <w:rFonts w:hint="default" w:ascii="Times New Roman" w:hAnsi="Times New Roman" w:cs="Times New Roman"/>
              </w:rPr>
              <w:fldChar w:fldCharType="end"/>
            </w:r>
            <w:bookmarkEnd w:id="3"/>
          </w:p>
        </w:tc>
      </w:tr>
    </w:tbl>
    <w:p w14:paraId="025C313F">
      <w:pPr>
        <w:pStyle w:val="52"/>
        <w:framePr w:w="9639" w:h="624" w:hRule="exact" w:hSpace="181" w:vSpace="181" w:wrap="around" w:hAnchor="page" w:x="1305" w:y="2269"/>
        <w:rPr>
          <w:rFonts w:hint="default" w:ascii="Times New Roman" w:hAnsi="Times New Roman" w:eastAsia="黑体" w:cs="Times New Roman"/>
          <w:b w:val="0"/>
          <w:bCs w:val="0"/>
          <w:w w:val="100"/>
          <w:sz w:val="48"/>
          <w:szCs w:val="48"/>
        </w:rPr>
      </w:pPr>
      <w:r>
        <w:rPr>
          <w:rFonts w:hint="default" w:ascii="Times New Roman" w:hAnsi="Times New Roman" w:eastAsia="黑体" w:cs="Times New Roman"/>
          <w:b w:val="0"/>
          <w:w w:val="100"/>
          <w:sz w:val="48"/>
        </w:rPr>
        <w:fldChar w:fldCharType="begin">
          <w:ffData>
            <w:name w:val="c2"/>
            <w:enabled/>
            <w:calcOnExit w:val="0"/>
            <w:textInput/>
          </w:ffData>
        </w:fldChar>
      </w:r>
      <w:bookmarkStart w:id="4" w:name="c2"/>
      <w:r>
        <w:rPr>
          <w:rFonts w:hint="default" w:ascii="Times New Roman" w:hAnsi="Times New Roman" w:eastAsia="黑体" w:cs="Times New Roman"/>
          <w:b w:val="0"/>
          <w:w w:val="100"/>
          <w:sz w:val="48"/>
        </w:rPr>
        <w:instrText xml:space="preserve"> FORMTEXT </w:instrText>
      </w:r>
      <w:r>
        <w:rPr>
          <w:rFonts w:hint="default" w:ascii="Times New Roman" w:hAnsi="Times New Roman" w:eastAsia="黑体" w:cs="Times New Roman"/>
          <w:b w:val="0"/>
          <w:w w:val="100"/>
          <w:sz w:val="48"/>
        </w:rPr>
        <w:fldChar w:fldCharType="separate"/>
      </w:r>
      <w:r>
        <w:rPr>
          <w:rFonts w:hint="default" w:ascii="Times New Roman" w:hAnsi="Times New Roman" w:eastAsia="黑体" w:cs="Times New Roman"/>
          <w:b w:val="0"/>
          <w:w w:val="100"/>
          <w:sz w:val="48"/>
        </w:rPr>
        <w:t>宁夏回族自治区</w:t>
      </w:r>
      <w:r>
        <w:rPr>
          <w:rFonts w:hint="default" w:ascii="Times New Roman" w:hAnsi="Times New Roman" w:eastAsia="黑体" w:cs="Times New Roman"/>
          <w:b w:val="0"/>
          <w:w w:val="100"/>
          <w:sz w:val="48"/>
        </w:rPr>
        <w:fldChar w:fldCharType="end"/>
      </w:r>
      <w:bookmarkEnd w:id="4"/>
      <w:r>
        <w:rPr>
          <w:rFonts w:hint="default" w:ascii="Times New Roman" w:hAnsi="Times New Roman" w:eastAsia="黑体" w:cs="Times New Roman"/>
          <w:b w:val="0"/>
          <w:bCs w:val="0"/>
          <w:w w:val="100"/>
          <w:sz w:val="48"/>
          <w:szCs w:val="48"/>
        </w:rPr>
        <w:t>地方标准</w:t>
      </w:r>
    </w:p>
    <w:bookmarkEnd w:id="2"/>
    <w:p w14:paraId="25D9FA81">
      <w:pPr>
        <w:pStyle w:val="197"/>
        <w:rPr>
          <w:rFonts w:hint="default" w:ascii="Times New Roman" w:hAnsi="Times New Roman" w:cs="Times New Roman"/>
          <w:lang w:val="fr-FR"/>
        </w:rPr>
      </w:pPr>
      <w:r>
        <w:rPr>
          <w:rFonts w:hint="default" w:ascii="Times New Roman" w:hAnsi="Times New Roman" w:cs="Times New Roman"/>
          <w:lang w:val="fr-FR"/>
        </w:rPr>
        <w:t>DB</w:t>
      </w:r>
      <w:r>
        <w:rPr>
          <w:rFonts w:hint="default" w:ascii="Times New Roman" w:hAnsi="Times New Roman" w:cs="Times New Roman"/>
          <w:sz w:val="15"/>
          <w:szCs w:val="15"/>
          <w:lang w:val="fr-FR"/>
        </w:rPr>
        <w:t xml:space="preserve"> </w:t>
      </w:r>
      <w:r>
        <w:rPr>
          <w:rFonts w:hint="default" w:ascii="Times New Roman" w:hAnsi="Times New Roman" w:cs="Times New Roman"/>
        </w:rPr>
        <w:fldChar w:fldCharType="begin">
          <w:ffData>
            <w:name w:val="文字1"/>
            <w:enabled/>
            <w:calcOnExit w:val="0"/>
            <w:textInput>
              <w:default w:val="XX/T"/>
            </w:textInput>
          </w:ffData>
        </w:fldChar>
      </w:r>
      <w:bookmarkStart w:id="5" w:name="文字1"/>
      <w:r>
        <w:rPr>
          <w:rFonts w:hint="default" w:ascii="Times New Roman" w:hAnsi="Times New Roman" w:cs="Times New Roman"/>
          <w:lang w:val="fr-FR"/>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lang w:val="fr-FR"/>
        </w:rPr>
        <w:t>64/T</w:t>
      </w:r>
      <w:r>
        <w:rPr>
          <w:rFonts w:hint="default" w:ascii="Times New Roman" w:hAnsi="Times New Roman" w:cs="Times New Roman"/>
        </w:rPr>
        <w:fldChar w:fldCharType="end"/>
      </w:r>
      <w:bookmarkEnd w:id="5"/>
      <w:r>
        <w:rPr>
          <w:rFonts w:hint="default" w:ascii="Times New Roman" w:hAnsi="Times New Roman" w:cs="Times New Roman"/>
          <w:lang w:val="fr-FR"/>
        </w:rPr>
        <w:t xml:space="preserve"> </w:t>
      </w:r>
      <w:r>
        <w:rPr>
          <w:rFonts w:hint="default" w:ascii="Times New Roman" w:hAnsi="Times New Roman" w:cs="Times New Roman"/>
        </w:rPr>
        <w:fldChar w:fldCharType="begin">
          <w:ffData>
            <w:name w:val="NSTD_CODE_F"/>
            <w:enabled/>
            <w:calcOnExit w:val="0"/>
            <w:textInput>
              <w:default w:val="XXXX"/>
            </w:textInput>
          </w:ffData>
        </w:fldChar>
      </w:r>
      <w:bookmarkStart w:id="6" w:name="NSTD_CODE_F"/>
      <w:r>
        <w:rPr>
          <w:rFonts w:hint="default" w:ascii="Times New Roman" w:hAnsi="Times New Roman" w:cs="Times New Roman"/>
          <w:lang w:val="fr-FR"/>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lang w:val="fr-FR"/>
        </w:rPr>
        <w:t>XXXX</w:t>
      </w:r>
      <w:r>
        <w:rPr>
          <w:rFonts w:hint="default" w:ascii="Times New Roman" w:hAnsi="Times New Roman" w:cs="Times New Roman"/>
        </w:rPr>
        <w:fldChar w:fldCharType="end"/>
      </w:r>
      <w:bookmarkEnd w:id="6"/>
      <w:r>
        <w:rPr>
          <w:rFonts w:hint="default" w:ascii="Times New Roman" w:hAnsi="Times New Roman" w:cs="Times New Roman"/>
          <w:lang w:val="fr-FR"/>
        </w:rPr>
        <w:t>—</w:t>
      </w:r>
      <w:r>
        <w:rPr>
          <w:rFonts w:hint="default" w:ascii="Times New Roman" w:hAnsi="Times New Roman" w:cs="Times New Roman"/>
        </w:rPr>
        <w:fldChar w:fldCharType="begin">
          <w:ffData>
            <w:name w:val="NSTD_CODE_B"/>
            <w:enabled/>
            <w:calcOnExit w:val="0"/>
            <w:textInput>
              <w:default w:val="XXXX"/>
            </w:textInput>
          </w:ffData>
        </w:fldChar>
      </w:r>
      <w:bookmarkStart w:id="7" w:name="NSTD_CODE_B"/>
      <w:r>
        <w:rPr>
          <w:rFonts w:hint="default" w:ascii="Times New Roman" w:hAnsi="Times New Roman" w:cs="Times New Roman"/>
          <w:lang w:val="fr-FR"/>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lang w:val="fr-FR"/>
        </w:rPr>
        <w:t>XXXX</w:t>
      </w:r>
      <w:r>
        <w:rPr>
          <w:rFonts w:hint="default" w:ascii="Times New Roman" w:hAnsi="Times New Roman" w:cs="Times New Roman"/>
        </w:rPr>
        <w:fldChar w:fldCharType="end"/>
      </w:r>
      <w:bookmarkEnd w:id="7"/>
    </w:p>
    <w:p w14:paraId="366BFEAF">
      <w:pPr>
        <w:pStyle w:val="198"/>
        <w:rPr>
          <w:rFonts w:hint="default" w:hAnsi="黑体"/>
          <w:lang w:val="fr-FR"/>
        </w:rPr>
      </w:pPr>
      <w:bookmarkStart w:id="8" w:name="DT"/>
      <w:bookmarkEnd w:id="8"/>
      <w:r>
        <w:rPr>
          <w:rFonts w:hint="default" w:ascii="Times New Roman" w:hAnsi="Times New Roman" w:cs="Times New Roman"/>
        </w:rPr>
        <w:t>   </w:t>
      </w:r>
      <w:r>
        <w:rPr>
          <w:rFonts w:hint="default" w:ascii="Times New Roman" w:hAnsi="Times New Roman" w:cs="Times New Roman"/>
        </w:rPr>
        <w:fldChar w:fldCharType="begin">
          <w:ffData>
            <w:name w:val="OSTD_CODE"/>
            <w:enabled/>
            <w:calcOnExit w:val="0"/>
            <w:textInput/>
          </w:ffData>
        </w:fldChar>
      </w:r>
      <w:bookmarkStart w:id="9" w:name="OSTD_CODE"/>
      <w:r>
        <w:rPr>
          <w:rFonts w:hAnsi="黑体"/>
          <w:lang w:val="fr-FR"/>
        </w:rPr>
        <w:instrText xml:space="preserve"> FORMTEXT </w:instrText>
      </w:r>
      <w:r>
        <w:rPr>
          <w:rFonts w:hint="default" w:ascii="Times New Roman" w:hAnsi="Times New Roman" w:cs="Times New Roman"/>
        </w:rPr>
        <w:fldChar w:fldCharType="separate"/>
      </w:r>
      <w:r>
        <w:rPr>
          <w:rFonts w:ascii="Times New Roman" w:hAnsi="Times New Roman"/>
          <w:lang w:val="fr-FR"/>
        </w:rPr>
        <w:t>     </w:t>
      </w:r>
      <w:r>
        <w:rPr>
          <w:rFonts w:hint="default" w:ascii="Times New Roman" w:hAnsi="Times New Roman" w:cs="Times New Roman"/>
        </w:rPr>
        <w:fldChar w:fldCharType="end"/>
      </w:r>
      <w:bookmarkEnd w:id="9"/>
    </w:p>
    <w:p w14:paraId="6816458E">
      <w:pPr>
        <w:spacing w:line="240" w:lineRule="auto"/>
        <w:rPr>
          <w:rFonts w:hint="default" w:ascii="Times New Roman" w:hAnsi="Times New Roman" w:eastAsia="黑体"/>
          <w:kern w:val="0"/>
          <w:sz w:val="10"/>
          <w:szCs w:val="10"/>
          <w:lang w:val="fr-FR"/>
        </w:rPr>
      </w:pPr>
      <w:r>
        <w:rPr>
          <w:rFonts w:hint="default" w:ascii="Times New Roman" w:hAnsi="Times New Roman" w:eastAsia="黑体" w:cs="Times New Roman"/>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39774B74">
      <w:pPr>
        <w:pStyle w:val="52"/>
        <w:framePr w:w="9639" w:h="6976" w:hRule="exact" w:hSpace="0" w:vSpace="0" w:wrap="around" w:hAnchor="page" w:y="6408"/>
        <w:jc w:val="center"/>
        <w:rPr>
          <w:rFonts w:hint="default" w:ascii="Times New Roman" w:hAnsi="Times New Roman" w:eastAsia="黑体"/>
          <w:b w:val="0"/>
          <w:bCs w:val="0"/>
          <w:w w:val="100"/>
          <w:lang w:val="fr-FR"/>
        </w:rPr>
      </w:pPr>
    </w:p>
    <w:p w14:paraId="30966613">
      <w:pPr>
        <w:pStyle w:val="199"/>
        <w:framePr w:h="6974" w:hRule="exact" w:wrap="around" w:x="1419" w:anchorLock="1"/>
        <w:rPr>
          <w:rFonts w:hint="default" w:ascii="Times New Roman" w:hAnsi="Times New Roman" w:cs="Times New Roman"/>
        </w:rPr>
      </w:pPr>
      <w:r>
        <w:rPr>
          <w:rFonts w:hint="default" w:ascii="Times New Roman" w:hAnsi="Times New Roman" w:cs="Times New Roman"/>
        </w:rPr>
        <w:t>宁夏玉米滴灌种植技术规程</w:t>
      </w:r>
    </w:p>
    <w:p w14:paraId="14D6C4F1">
      <w:pPr>
        <w:framePr w:w="9639" w:h="6974" w:hRule="exact" w:wrap="around" w:vAnchor="page" w:hAnchor="page" w:x="1419" w:y="6408" w:anchorLock="1"/>
        <w:ind w:left="-1418"/>
        <w:rPr>
          <w:rFonts w:hint="default" w:ascii="Times New Roman" w:hAnsi="Times New Roman" w:cs="Times New Roman"/>
        </w:rPr>
      </w:pPr>
    </w:p>
    <w:p w14:paraId="1D1CFF8F">
      <w:pPr>
        <w:pStyle w:val="127"/>
        <w:framePr w:w="9639" w:h="6974" w:hRule="exact" w:wrap="around" w:vAnchor="page" w:hAnchor="page" w:x="1419" w:y="6408" w:anchorLock="1"/>
        <w:textAlignment w:val="bottom"/>
        <w:rPr>
          <w:rFonts w:hint="default" w:ascii="Times New Roman" w:hAnsi="Times New Roman" w:eastAsia="黑体" w:cs="Times New Roman"/>
          <w:szCs w:val="28"/>
        </w:rPr>
      </w:pPr>
      <w:r>
        <w:rPr>
          <w:rFonts w:hint="default" w:ascii="Times New Roman" w:hAnsi="Times New Roman" w:eastAsia="黑体" w:cs="Times New Roman"/>
          <w:szCs w:val="28"/>
        </w:rPr>
        <w:t>Ningxia corn technical specification for planting of drip irrigation</w:t>
      </w:r>
    </w:p>
    <w:p w14:paraId="0E4E0375">
      <w:pPr>
        <w:pStyle w:val="127"/>
        <w:framePr w:w="9639" w:h="6974" w:hRule="exact" w:wrap="around" w:vAnchor="page" w:hAnchor="page" w:x="1419" w:y="6408" w:anchorLock="1"/>
        <w:textAlignment w:val="bottom"/>
        <w:rPr>
          <w:rFonts w:hint="default" w:ascii="Times New Roman" w:hAnsi="Times New Roman" w:eastAsia="黑体" w:cs="Times New Roman"/>
          <w:szCs w:val="28"/>
        </w:rPr>
      </w:pPr>
    </w:p>
    <w:p w14:paraId="61E751EE">
      <w:pPr>
        <w:framePr w:w="9639" w:h="6974" w:hRule="exact" w:wrap="around" w:vAnchor="page" w:hAnchor="page" w:x="1419" w:y="6408" w:anchorLock="1"/>
        <w:spacing w:line="760" w:lineRule="exact"/>
        <w:ind w:left="-1418"/>
        <w:rPr>
          <w:rFonts w:hint="default" w:ascii="Times New Roman" w:hAnsi="Times New Roman" w:cs="Times New Roman"/>
        </w:rPr>
      </w:pPr>
    </w:p>
    <w:p w14:paraId="023EFAAC">
      <w:pPr>
        <w:pStyle w:val="127"/>
        <w:framePr w:w="9639" w:h="6974" w:hRule="exact" w:wrap="around" w:vAnchor="page" w:hAnchor="page" w:x="1419" w:y="6408" w:anchorLock="1"/>
        <w:textAlignment w:val="bottom"/>
        <w:rPr>
          <w:rFonts w:hint="default" w:ascii="Times New Roman" w:hAnsi="Times New Roman" w:eastAsia="黑体" w:cs="Times New Roman"/>
          <w:szCs w:val="28"/>
        </w:rPr>
      </w:pPr>
    </w:p>
    <w:p w14:paraId="4523387B">
      <w:pPr>
        <w:pStyle w:val="127"/>
        <w:framePr w:w="9639" w:h="6974" w:hRule="exact" w:wrap="around" w:vAnchor="page" w:hAnchor="page" w:x="1419" w:y="6408" w:anchorLock="1"/>
        <w:spacing w:before="440" w:after="160"/>
        <w:textAlignment w:val="bottom"/>
        <w:rPr>
          <w:rFonts w:hint="default" w:ascii="Times New Roman" w:hAnsi="Times New Roman" w:cs="Times New Roman"/>
          <w:sz w:val="24"/>
          <w:szCs w:val="28"/>
        </w:rPr>
      </w:pPr>
      <w:r>
        <w:rPr>
          <w:rFonts w:hint="default" w:ascii="Times New Roman" w:hAnsi="Times New Roman" w:cs="Times New Roman"/>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rFonts w:hint="default" w:ascii="Times New Roman" w:hAnsi="Times New Roman" w:cs="Times New Roman"/>
          <w:sz w:val="24"/>
          <w:szCs w:val="28"/>
        </w:rPr>
        <w:instrText xml:space="preserve"> FORMDROPDOWN </w:instrText>
      </w:r>
      <w:r>
        <w:rPr>
          <w:rFonts w:hint="default" w:ascii="Times New Roman" w:hAnsi="Times New Roman" w:cs="Times New Roman"/>
          <w:sz w:val="24"/>
          <w:szCs w:val="28"/>
        </w:rPr>
        <w:fldChar w:fldCharType="separate"/>
      </w:r>
      <w:r>
        <w:rPr>
          <w:rFonts w:hint="default" w:ascii="Times New Roman" w:hAnsi="Times New Roman" w:cs="Times New Roman"/>
          <w:sz w:val="24"/>
          <w:szCs w:val="28"/>
        </w:rPr>
        <w:fldChar w:fldCharType="end"/>
      </w:r>
      <w:bookmarkEnd w:id="10"/>
    </w:p>
    <w:p w14:paraId="733A8FAA">
      <w:pPr>
        <w:pStyle w:val="127"/>
        <w:framePr w:w="9639" w:h="6974" w:hRule="exact" w:wrap="around" w:vAnchor="page" w:hAnchor="page" w:x="1419" w:y="6408" w:anchorLock="1"/>
        <w:spacing w:before="180" w:line="240" w:lineRule="atLeast"/>
        <w:textAlignment w:val="bottom"/>
        <w:rPr>
          <w:rFonts w:hint="default" w:ascii="Times New Roman" w:hAnsi="Times New Roman" w:cs="Times New Roman"/>
          <w:sz w:val="21"/>
          <w:szCs w:val="28"/>
        </w:rPr>
      </w:pPr>
      <w:r>
        <w:rPr>
          <w:rFonts w:hint="default" w:ascii="Times New Roman" w:hAnsi="Times New Roman" w:cs="Times New Roman"/>
          <w:sz w:val="21"/>
          <w:szCs w:val="28"/>
        </w:rPr>
        <w:fldChar w:fldCharType="begin">
          <w:ffData>
            <w:name w:val="CMPLSH_DATE"/>
            <w:enabled/>
            <w:calcOnExit w:val="0"/>
            <w:textInput/>
          </w:ffData>
        </w:fldChar>
      </w:r>
      <w:bookmarkStart w:id="11" w:name="CMPLSH_DATE"/>
      <w:r>
        <w:rPr>
          <w:rFonts w:hint="default" w:ascii="Times New Roman" w:hAnsi="Times New Roman" w:cs="Times New Roman"/>
          <w:sz w:val="21"/>
          <w:szCs w:val="28"/>
        </w:rPr>
        <w:instrText xml:space="preserve"> FORMTEXT </w:instrText>
      </w:r>
      <w:r>
        <w:rPr>
          <w:rFonts w:hint="default" w:ascii="Times New Roman" w:hAnsi="Times New Roman" w:cs="Times New Roman"/>
          <w:sz w:val="21"/>
          <w:szCs w:val="28"/>
        </w:rPr>
        <w:fldChar w:fldCharType="separate"/>
      </w:r>
      <w:r>
        <w:rPr>
          <w:rFonts w:hint="default" w:ascii="Times New Roman" w:hAnsi="Times New Roman" w:cs="Times New Roman"/>
          <w:sz w:val="21"/>
          <w:szCs w:val="28"/>
        </w:rPr>
        <w:t>     </w:t>
      </w:r>
      <w:r>
        <w:rPr>
          <w:rFonts w:hint="default" w:ascii="Times New Roman" w:hAnsi="Times New Roman" w:cs="Times New Roman"/>
          <w:sz w:val="21"/>
          <w:szCs w:val="28"/>
        </w:rPr>
        <w:fldChar w:fldCharType="end"/>
      </w:r>
      <w:bookmarkEnd w:id="11"/>
    </w:p>
    <w:p w14:paraId="28A65A74">
      <w:pPr>
        <w:pStyle w:val="127"/>
        <w:framePr w:w="9639" w:h="6974" w:hRule="exact" w:wrap="around" w:vAnchor="page" w:hAnchor="page" w:x="1419" w:y="6408" w:anchorLock="1"/>
        <w:spacing w:before="720" w:beforeLines="300" w:after="72" w:afterLines="30" w:line="240" w:lineRule="auto"/>
        <w:textAlignment w:val="bottom"/>
        <w:rPr>
          <w:rFonts w:hint="default" w:ascii="Times New Roman" w:hAnsi="Times New Roman" w:cs="Times New Roman"/>
          <w:b/>
          <w:sz w:val="21"/>
          <w:szCs w:val="28"/>
        </w:rPr>
      </w:pPr>
      <w:r>
        <w:rPr>
          <w:rFonts w:hint="default" w:ascii="Times New Roman" w:hAnsi="Times New Roman" w:cs="Times New Roman"/>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2" w:name="下拉2"/>
      <w:r>
        <w:rPr>
          <w:rFonts w:hint="default" w:ascii="Times New Roman" w:hAnsi="Times New Roman" w:cs="Times New Roman"/>
          <w:b/>
          <w:sz w:val="21"/>
          <w:szCs w:val="28"/>
        </w:rPr>
        <w:instrText xml:space="preserve"> FORMDROPDOWN </w:instrText>
      </w:r>
      <w:r>
        <w:rPr>
          <w:rFonts w:hint="default" w:ascii="Times New Roman" w:hAnsi="Times New Roman" w:cs="Times New Roman"/>
          <w:b/>
          <w:sz w:val="21"/>
          <w:szCs w:val="28"/>
        </w:rPr>
        <w:fldChar w:fldCharType="separate"/>
      </w:r>
      <w:r>
        <w:rPr>
          <w:rFonts w:hint="default" w:ascii="Times New Roman" w:hAnsi="Times New Roman" w:cs="Times New Roman"/>
          <w:b/>
          <w:sz w:val="21"/>
          <w:szCs w:val="28"/>
        </w:rPr>
        <w:fldChar w:fldCharType="end"/>
      </w:r>
      <w:bookmarkEnd w:id="12"/>
    </w:p>
    <w:p w14:paraId="10E8EAFC">
      <w:pPr>
        <w:pStyle w:val="195"/>
        <w:framePr w:wrap="around" w:y="14176"/>
        <w:rPr>
          <w:rFonts w:hint="default" w:ascii="Times New Roman" w:hAnsi="Times New Roman" w:cs="Times New Roman"/>
        </w:rPr>
      </w:pPr>
      <w:r>
        <w:rPr>
          <w:rFonts w:hint="default" w:ascii="Times New Roman" w:hAnsi="Times New Roman" w:cs="Times New Roman"/>
        </w:rPr>
        <w:fldChar w:fldCharType="begin">
          <w:ffData>
            <w:name w:val="PLSH_DATE_Y"/>
            <w:enabled/>
            <w:calcOnExit w:val="0"/>
            <w:textInput>
              <w:default w:val="XXXX"/>
              <w:maxLength w:val="4"/>
            </w:textInput>
          </w:ffData>
        </w:fldChar>
      </w:r>
      <w:bookmarkStart w:id="13" w:name="PLSH_DATE_Y"/>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XXXX</w:t>
      </w:r>
      <w:r>
        <w:rPr>
          <w:rFonts w:hint="default" w:ascii="Times New Roman" w:hAnsi="Times New Roman" w:cs="Times New Roman"/>
        </w:rPr>
        <w:fldChar w:fldCharType="end"/>
      </w:r>
      <w:bookmarkEnd w:id="13"/>
      <w:r>
        <w:rPr>
          <w:rFonts w:hint="default" w:ascii="Times New Roman" w:hAnsi="Times New Roman" w:cs="Times New Roman"/>
        </w:rPr>
        <w:t xml:space="preserve"> - </w:t>
      </w:r>
      <w:r>
        <w:rPr>
          <w:rFonts w:hint="default" w:ascii="Times New Roman" w:hAnsi="Times New Roman" w:cs="Times New Roman"/>
        </w:rPr>
        <w:fldChar w:fldCharType="begin">
          <w:ffData>
            <w:name w:val="PLSH_DATE_M"/>
            <w:enabled/>
            <w:calcOnExit w:val="0"/>
            <w:textInput>
              <w:default w:val="XX"/>
              <w:maxLength w:val="2"/>
            </w:textInput>
          </w:ffData>
        </w:fldChar>
      </w:r>
      <w:bookmarkStart w:id="14" w:name="PLSH_DATE_M"/>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w:t>
      </w:r>
      <w:r>
        <w:rPr>
          <w:rFonts w:hint="default" w:ascii="Times New Roman" w:hAnsi="Times New Roman" w:cs="Times New Roman"/>
        </w:rPr>
        <w:fldChar w:fldCharType="end"/>
      </w:r>
      <w:bookmarkEnd w:id="14"/>
      <w:r>
        <w:rPr>
          <w:rFonts w:hint="default" w:ascii="Times New Roman" w:hAnsi="Times New Roman" w:cs="Times New Roman"/>
        </w:rPr>
        <w:t xml:space="preserve"> - </w:t>
      </w:r>
      <w:r>
        <w:rPr>
          <w:rFonts w:hint="default" w:ascii="Times New Roman" w:hAnsi="Times New Roman" w:cs="Times New Roman"/>
        </w:rPr>
        <w:fldChar w:fldCharType="begin">
          <w:ffData>
            <w:name w:val="PLSH_DATE_D"/>
            <w:enabled/>
            <w:calcOnExit w:val="0"/>
            <w:textInput>
              <w:default w:val="XX"/>
              <w:maxLength w:val="2"/>
            </w:textInput>
          </w:ffData>
        </w:fldChar>
      </w:r>
      <w:bookmarkStart w:id="15" w:name="PLSH_DATE_D"/>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w:t>
      </w:r>
      <w:r>
        <w:rPr>
          <w:rFonts w:hint="default" w:ascii="Times New Roman" w:hAnsi="Times New Roman" w:cs="Times New Roman"/>
        </w:rPr>
        <w:fldChar w:fldCharType="end"/>
      </w:r>
      <w:bookmarkEnd w:id="15"/>
      <w:r>
        <w:rPr>
          <w:rFonts w:hint="default" w:ascii="Times New Roman" w:hAnsi="Times New Roman" w:cs="Times New Roman"/>
        </w:rPr>
        <w:t>发布</w:t>
      </w:r>
    </w:p>
    <w:p w14:paraId="528B8D07">
      <w:pPr>
        <w:pStyle w:val="196"/>
        <w:framePr w:wrap="around" w:y="14176"/>
        <w:rPr>
          <w:rFonts w:hint="default" w:ascii="Times New Roman" w:hAnsi="Times New Roman" w:cs="Times New Roman"/>
        </w:rPr>
      </w:pPr>
      <w:r>
        <w:rPr>
          <w:rFonts w:hint="default" w:ascii="Times New Roman" w:hAnsi="Times New Roman" w:cs="Times New Roman"/>
        </w:rPr>
        <w:fldChar w:fldCharType="begin">
          <w:ffData>
            <w:name w:val="CROT_DATE_Y"/>
            <w:enabled/>
            <w:calcOnExit w:val="0"/>
            <w:textInput>
              <w:default w:val="XXXX"/>
              <w:maxLength w:val="4"/>
            </w:textInput>
          </w:ffData>
        </w:fldChar>
      </w:r>
      <w:bookmarkStart w:id="16" w:name="CROT_DATE_Y"/>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XXXX</w:t>
      </w:r>
      <w:r>
        <w:rPr>
          <w:rFonts w:hint="default" w:ascii="Times New Roman" w:hAnsi="Times New Roman" w:cs="Times New Roman"/>
        </w:rPr>
        <w:fldChar w:fldCharType="end"/>
      </w:r>
      <w:bookmarkEnd w:id="16"/>
      <w:r>
        <w:rPr>
          <w:rFonts w:hint="default" w:ascii="Times New Roman" w:hAnsi="Times New Roman" w:cs="Times New Roman"/>
        </w:rPr>
        <w:t xml:space="preserve"> - </w:t>
      </w:r>
      <w:r>
        <w:rPr>
          <w:rFonts w:hint="default" w:ascii="Times New Roman" w:hAnsi="Times New Roman" w:cs="Times New Roman"/>
        </w:rPr>
        <w:fldChar w:fldCharType="begin">
          <w:ffData>
            <w:name w:val="CROT_DATE_M"/>
            <w:enabled/>
            <w:calcOnExit w:val="0"/>
            <w:textInput>
              <w:default w:val="XX"/>
              <w:maxLength w:val="2"/>
            </w:textInput>
          </w:ffData>
        </w:fldChar>
      </w:r>
      <w:bookmarkStart w:id="17" w:name="CROT_DATE_M"/>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w:t>
      </w:r>
      <w:r>
        <w:rPr>
          <w:rFonts w:hint="default" w:ascii="Times New Roman" w:hAnsi="Times New Roman" w:cs="Times New Roman"/>
        </w:rPr>
        <w:fldChar w:fldCharType="end"/>
      </w:r>
      <w:bookmarkEnd w:id="17"/>
      <w:r>
        <w:rPr>
          <w:rFonts w:hint="default" w:ascii="Times New Roman" w:hAnsi="Times New Roman" w:cs="Times New Roman"/>
        </w:rPr>
        <w:t xml:space="preserve"> - </w:t>
      </w:r>
      <w:r>
        <w:rPr>
          <w:rFonts w:hint="default" w:ascii="Times New Roman" w:hAnsi="Times New Roman" w:cs="Times New Roman"/>
        </w:rPr>
        <w:fldChar w:fldCharType="begin">
          <w:ffData>
            <w:name w:val="CROT_DATE_D"/>
            <w:enabled/>
            <w:calcOnExit w:val="0"/>
            <w:textInput>
              <w:default w:val="XX"/>
              <w:maxLength w:val="2"/>
            </w:textInput>
          </w:ffData>
        </w:fldChar>
      </w:r>
      <w:bookmarkStart w:id="18" w:name="CROT_DATE_D"/>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w:t>
      </w:r>
      <w:r>
        <w:rPr>
          <w:rFonts w:hint="default" w:ascii="Times New Roman" w:hAnsi="Times New Roman" w:cs="Times New Roman"/>
        </w:rPr>
        <w:fldChar w:fldCharType="end"/>
      </w:r>
      <w:bookmarkEnd w:id="18"/>
      <w:r>
        <w:rPr>
          <w:rFonts w:hint="default" w:ascii="Times New Roman" w:hAnsi="Times New Roman" w:cs="Times New Roman"/>
        </w:rPr>
        <w:t>实施</w:t>
      </w:r>
    </w:p>
    <w:p w14:paraId="4EAE2A52">
      <w:pPr>
        <w:pStyle w:val="153"/>
        <w:framePr w:h="584" w:hRule="exact" w:hSpace="181" w:vSpace="181" w:wrap="around" w:y="15027"/>
        <w:rPr>
          <w:rFonts w:hint="default" w:ascii="Times New Roman" w:hAnsi="Times New Roman" w:cs="Times New Roman"/>
        </w:rPr>
      </w:pPr>
      <w:r>
        <w:rPr>
          <w:rFonts w:hint="default" w:ascii="Times New Roman" w:hAnsi="Times New Roman" w:cs="Times New Roman"/>
          <w:w w:val="100"/>
          <w:sz w:val="28"/>
        </w:rPr>
        <w:fldChar w:fldCharType="begin">
          <w:ffData>
            <w:name w:val="fm"/>
            <w:enabled/>
            <w:calcOnExit w:val="0"/>
            <w:textInput/>
          </w:ffData>
        </w:fldChar>
      </w:r>
      <w:bookmarkStart w:id="19" w:name="fm"/>
      <w:r>
        <w:rPr>
          <w:rFonts w:hint="default" w:ascii="Times New Roman" w:hAnsi="Times New Roman" w:cs="Times New Roman"/>
          <w:w w:val="100"/>
          <w:sz w:val="28"/>
        </w:rPr>
        <w:instrText xml:space="preserve"> FORMTEXT </w:instrText>
      </w:r>
      <w:r>
        <w:rPr>
          <w:rFonts w:hint="default" w:ascii="Times New Roman" w:hAnsi="Times New Roman" w:cs="Times New Roman"/>
          <w:w w:val="100"/>
          <w:sz w:val="28"/>
        </w:rPr>
        <w:fldChar w:fldCharType="separate"/>
      </w:r>
      <w:r>
        <w:rPr>
          <w:rFonts w:hint="default" w:ascii="Times New Roman" w:hAnsi="Times New Roman" w:cs="Times New Roman"/>
          <w:w w:val="100"/>
          <w:sz w:val="28"/>
        </w:rPr>
        <w:t>宁夏回族自治区市场监督管理厅</w:t>
      </w:r>
      <w:r>
        <w:rPr>
          <w:rFonts w:hint="default" w:ascii="Times New Roman" w:hAnsi="Times New Roman" w:cs="Times New Roman"/>
          <w:w w:val="100"/>
          <w:sz w:val="28"/>
        </w:rPr>
        <w:fldChar w:fldCharType="end"/>
      </w:r>
      <w:bookmarkEnd w:id="19"/>
      <w:r>
        <w:rPr>
          <w:rFonts w:hint="default" w:ascii="Times New Roman" w:hAnsi="Times New Roman" w:cs="Times New Roman"/>
          <w:w w:val="100"/>
          <w:sz w:val="28"/>
        </w:rPr>
        <w:t>  </w:t>
      </w:r>
      <w:r>
        <w:rPr>
          <w:rStyle w:val="231"/>
          <w:rFonts w:hint="default" w:ascii="Times New Roman" w:hAnsi="Times New Roman" w:cs="Times New Roman"/>
          <w:position w:val="0"/>
        </w:rPr>
        <w:t>发</w:t>
      </w:r>
      <w:r>
        <w:rPr>
          <w:rStyle w:val="231"/>
          <w:rFonts w:hint="default" w:ascii="Times New Roman" w:hAnsi="Times New Roman" w:cs="Times New Roman"/>
          <w:spacing w:val="0"/>
          <w:position w:val="0"/>
        </w:rPr>
        <w:t>布</w:t>
      </w:r>
    </w:p>
    <w:p w14:paraId="0A9A7165">
      <w:pPr>
        <w:rPr>
          <w:rFonts w:hint="default" w:ascii="Times New Roman" w:hAnsi="Times New Roman" w:cs="Times New Roman"/>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default" w:ascii="Times New Roman" w:hAnsi="Times New Roman" w:cs="Times New Roman"/>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29E48A49">
      <w:pPr>
        <w:pStyle w:val="91"/>
        <w:spacing w:before="900" w:after="468"/>
        <w:rPr>
          <w:rFonts w:hint="default" w:ascii="Times New Roman" w:hAnsi="Times New Roman" w:cs="Times New Roman"/>
        </w:rPr>
      </w:pPr>
      <w:bookmarkStart w:id="20" w:name="_Toc25684"/>
      <w:bookmarkStart w:id="21" w:name="_Toc6890"/>
      <w:bookmarkStart w:id="22" w:name="_Toc2968"/>
      <w:bookmarkStart w:id="23" w:name="_Toc176446546"/>
      <w:bookmarkStart w:id="24" w:name="BookMark2"/>
      <w:r>
        <w:rPr>
          <w:rFonts w:hint="default" w:ascii="Times New Roman" w:hAnsi="Times New Roman" w:cs="Times New Roman"/>
          <w:spacing w:val="320"/>
        </w:rPr>
        <w:t>前</w:t>
      </w:r>
      <w:r>
        <w:rPr>
          <w:rFonts w:hint="default" w:ascii="Times New Roman" w:hAnsi="Times New Roman" w:cs="Times New Roman"/>
        </w:rPr>
        <w:t>言</w:t>
      </w:r>
      <w:bookmarkEnd w:id="20"/>
      <w:bookmarkEnd w:id="21"/>
      <w:bookmarkEnd w:id="22"/>
      <w:bookmarkEnd w:id="23"/>
    </w:p>
    <w:p w14:paraId="480C5BCB">
      <w:pPr>
        <w:pStyle w:val="58"/>
        <w:ind w:firstLine="420"/>
        <w:rPr>
          <w:rFonts w:hint="default" w:ascii="Times New Roman" w:hAnsi="Times New Roman" w:cs="Times New Roman"/>
        </w:rPr>
      </w:pPr>
      <w:r>
        <w:rPr>
          <w:rFonts w:hint="default" w:ascii="Times New Roman" w:hAnsi="Times New Roman" w:cs="Times New Roman"/>
        </w:rPr>
        <w:t>本文件按照GB/T 1.1—2020《标准化工作导则 第1部分：标准化文件的结构和起草规则》的规定起草。</w:t>
      </w:r>
    </w:p>
    <w:p w14:paraId="1D2A53B0">
      <w:pPr>
        <w:pStyle w:val="58"/>
        <w:ind w:firstLine="420"/>
        <w:rPr>
          <w:rFonts w:hint="default" w:ascii="Times New Roman" w:hAnsi="Times New Roman" w:cs="Times New Roman"/>
        </w:rPr>
      </w:pPr>
      <w:r>
        <w:rPr>
          <w:rFonts w:hint="default" w:ascii="Times New Roman" w:hAnsi="Times New Roman" w:cs="Times New Roman"/>
        </w:rPr>
        <w:t>本文件代替DB64/T 1292—2016《宁夏玉米滴灌种植技术规程》，与DB64/T 1292—2016相比，除结构调整和编辑性改动外，主要技术变化如下：</w:t>
      </w:r>
    </w:p>
    <w:p w14:paraId="7BD951B6">
      <w:pPr>
        <w:pStyle w:val="58"/>
        <w:ind w:firstLine="420"/>
        <w:rPr>
          <w:rFonts w:hint="default" w:ascii="Times New Roman" w:hAnsi="Times New Roman" w:cs="Times New Roman"/>
        </w:rPr>
      </w:pPr>
      <w:r>
        <w:rPr>
          <w:rFonts w:hint="default" w:ascii="Times New Roman" w:hAnsi="Times New Roman" w:cs="Times New Roman"/>
        </w:rPr>
        <w:t>——更改了文件的适用范围（见第1章）；</w:t>
      </w:r>
    </w:p>
    <w:p w14:paraId="5B20BDF5">
      <w:pPr>
        <w:pStyle w:val="58"/>
        <w:ind w:firstLine="420"/>
        <w:rPr>
          <w:rFonts w:hint="default" w:ascii="Times New Roman" w:hAnsi="Times New Roman" w:cs="Times New Roman"/>
        </w:rPr>
      </w:pPr>
      <w:r>
        <w:rPr>
          <w:rFonts w:hint="default" w:ascii="Times New Roman" w:hAnsi="Times New Roman" w:cs="Times New Roman"/>
        </w:rPr>
        <w:t>——增加了浅埋滴灌技术的术语和定义（见3.5）；</w:t>
      </w:r>
    </w:p>
    <w:p w14:paraId="1224502D">
      <w:pPr>
        <w:pStyle w:val="58"/>
        <w:ind w:firstLine="420"/>
        <w:rPr>
          <w:rFonts w:hint="default" w:ascii="Times New Roman" w:hAnsi="Times New Roman" w:cs="Times New Roman"/>
        </w:rPr>
      </w:pPr>
      <w:r>
        <w:rPr>
          <w:rFonts w:hint="default" w:ascii="Times New Roman" w:hAnsi="Times New Roman" w:cs="Times New Roman"/>
        </w:rPr>
        <w:t>——修改了产地选择中的土壤、水源与水质条件，删除了地理气候条件（见4.1，4.2）；</w:t>
      </w:r>
    </w:p>
    <w:p w14:paraId="16247E9B">
      <w:pPr>
        <w:pStyle w:val="58"/>
        <w:ind w:firstLine="420"/>
        <w:rPr>
          <w:rFonts w:hint="default" w:ascii="Times New Roman" w:hAnsi="Times New Roman" w:cs="Times New Roman"/>
        </w:rPr>
      </w:pPr>
      <w:r>
        <w:rPr>
          <w:rFonts w:hint="default" w:ascii="Times New Roman" w:hAnsi="Times New Roman" w:cs="Times New Roman"/>
        </w:rPr>
        <w:t>——删除了种植处理（见5.1.1）；</w:t>
      </w:r>
    </w:p>
    <w:p w14:paraId="1119B2E3">
      <w:pPr>
        <w:pStyle w:val="58"/>
        <w:ind w:firstLine="420"/>
        <w:rPr>
          <w:rFonts w:hint="default" w:ascii="Times New Roman" w:hAnsi="Times New Roman" w:cs="Times New Roman"/>
        </w:rPr>
      </w:pPr>
      <w:r>
        <w:rPr>
          <w:rFonts w:hint="default" w:ascii="Times New Roman" w:hAnsi="Times New Roman" w:cs="Times New Roman"/>
        </w:rPr>
        <w:t>——修改了机械作业要求，增加了浅埋滴灌玉米机械作业要求、滴灌带埋深深度要求（见5.2.2.1，5.2.2.2）；</w:t>
      </w:r>
    </w:p>
    <w:p w14:paraId="21F0793F">
      <w:pPr>
        <w:pStyle w:val="58"/>
        <w:ind w:firstLine="420"/>
        <w:rPr>
          <w:rFonts w:hint="default" w:ascii="Times New Roman" w:hAnsi="Times New Roman" w:cs="Times New Roman"/>
        </w:rPr>
      </w:pPr>
      <w:r>
        <w:rPr>
          <w:rFonts w:hint="default" w:ascii="Times New Roman" w:hAnsi="Times New Roman" w:cs="Times New Roman"/>
        </w:rPr>
        <w:t>——删除了水库水处理模式、水库水过滤设备组合（见6.1.2，6.1.3）；</w:t>
      </w:r>
    </w:p>
    <w:p w14:paraId="21682401">
      <w:pPr>
        <w:pStyle w:val="58"/>
        <w:ind w:firstLine="420"/>
        <w:rPr>
          <w:rFonts w:hint="default" w:ascii="Times New Roman" w:hAnsi="Times New Roman" w:cs="Times New Roman"/>
        </w:rPr>
      </w:pPr>
      <w:r>
        <w:rPr>
          <w:rFonts w:hint="default" w:ascii="Times New Roman" w:hAnsi="Times New Roman" w:cs="Times New Roman"/>
        </w:rPr>
        <w:t>——更改了滴灌带选择要求及技术参数（见6.2.2.1，6.2.2.2）；</w:t>
      </w:r>
    </w:p>
    <w:p w14:paraId="333A0418">
      <w:pPr>
        <w:pStyle w:val="58"/>
        <w:ind w:firstLine="420"/>
        <w:rPr>
          <w:rFonts w:hint="default" w:ascii="Times New Roman" w:hAnsi="Times New Roman" w:cs="Times New Roman"/>
        </w:rPr>
      </w:pPr>
      <w:r>
        <w:rPr>
          <w:rFonts w:hint="default" w:ascii="Times New Roman" w:hAnsi="Times New Roman" w:cs="Times New Roman"/>
        </w:rPr>
        <w:t>——更改了滴灌带铺设长度范围（见6.2.2.3）；</w:t>
      </w:r>
    </w:p>
    <w:p w14:paraId="53BBDC5E">
      <w:pPr>
        <w:pStyle w:val="58"/>
        <w:ind w:firstLine="420"/>
        <w:rPr>
          <w:rFonts w:hint="default" w:ascii="Times New Roman" w:hAnsi="Times New Roman" w:cs="Times New Roman"/>
        </w:rPr>
      </w:pPr>
      <w:r>
        <w:rPr>
          <w:rFonts w:hint="default" w:ascii="Times New Roman" w:hAnsi="Times New Roman" w:cs="Times New Roman"/>
        </w:rPr>
        <w:t>——更改了水肥管理制度，更改了灌水定额、灌水量、总灌水量，水溶肥施肥次数，施肥量（见7.1）。</w:t>
      </w:r>
    </w:p>
    <w:p w14:paraId="6901DF35">
      <w:pPr>
        <w:pStyle w:val="58"/>
        <w:ind w:firstLine="420"/>
        <w:rPr>
          <w:rFonts w:hint="default" w:ascii="Times New Roman" w:hAnsi="Times New Roman" w:cs="Times New Roman"/>
        </w:rPr>
      </w:pPr>
      <w:r>
        <w:rPr>
          <w:rFonts w:hint="default" w:ascii="Times New Roman" w:hAnsi="Times New Roman" w:cs="Times New Roman"/>
        </w:rPr>
        <w:t>请注意本文件的某些内容可能涉及专利，本文件的发布机构不承担识别专利的责任。</w:t>
      </w:r>
    </w:p>
    <w:p w14:paraId="07DCE506">
      <w:pPr>
        <w:pStyle w:val="58"/>
        <w:ind w:firstLine="420"/>
        <w:rPr>
          <w:rFonts w:hint="default" w:ascii="Times New Roman" w:hAnsi="Times New Roman" w:cs="Times New Roman"/>
        </w:rPr>
      </w:pPr>
      <w:r>
        <w:rPr>
          <w:rFonts w:hint="default" w:ascii="Times New Roman" w:hAnsi="Times New Roman" w:cs="Times New Roman"/>
        </w:rPr>
        <w:t>本文件由宁夏回族自治区农业农村厅归口管理并实施。</w:t>
      </w:r>
    </w:p>
    <w:p w14:paraId="404AD8D1">
      <w:pPr>
        <w:pStyle w:val="58"/>
        <w:ind w:firstLine="420"/>
        <w:rPr>
          <w:rFonts w:hint="default" w:ascii="Times New Roman" w:hAnsi="Times New Roman" w:cs="Times New Roman"/>
        </w:rPr>
      </w:pPr>
      <w:r>
        <w:rPr>
          <w:rFonts w:hint="default" w:ascii="Times New Roman" w:hAnsi="Times New Roman" w:cs="Times New Roman"/>
        </w:rPr>
        <w:t>本文件起草单位：宁夏回族自治区水利科学研究院、宁夏回族自治区农田水利建设与开发整治中心。</w:t>
      </w:r>
    </w:p>
    <w:p w14:paraId="126CA843">
      <w:pPr>
        <w:pStyle w:val="58"/>
        <w:ind w:firstLine="420"/>
        <w:rPr>
          <w:rFonts w:hint="default" w:ascii="Times New Roman" w:hAnsi="Times New Roman" w:cs="Times New Roman"/>
        </w:rPr>
      </w:pPr>
      <w:r>
        <w:rPr>
          <w:rFonts w:hint="default" w:ascii="Times New Roman" w:hAnsi="Times New Roman" w:cs="Times New Roman"/>
        </w:rPr>
        <w:t>本文件主要起草人：</w:t>
      </w:r>
    </w:p>
    <w:p w14:paraId="6D7FE01D">
      <w:pPr>
        <w:pStyle w:val="58"/>
        <w:ind w:firstLine="420"/>
        <w:rPr>
          <w:rFonts w:hint="default" w:ascii="Times New Roman" w:hAnsi="Times New Roman" w:cs="Times New Roman"/>
        </w:rPr>
      </w:pPr>
      <w:r>
        <w:rPr>
          <w:rFonts w:hint="default" w:ascii="Times New Roman" w:hAnsi="Times New Roman" w:cs="Times New Roman"/>
        </w:rPr>
        <w:t>本文件及其所代替文件的历次版本发布情况为：</w:t>
      </w:r>
    </w:p>
    <w:p w14:paraId="5DC5A734">
      <w:pPr>
        <w:pStyle w:val="58"/>
        <w:ind w:firstLine="420"/>
        <w:rPr>
          <w:rFonts w:hint="default" w:ascii="Times New Roman" w:hAnsi="Times New Roman" w:cs="Times New Roman"/>
        </w:rPr>
      </w:pPr>
      <w:r>
        <w:rPr>
          <w:rFonts w:hint="default" w:ascii="Times New Roman" w:hAnsi="Times New Roman" w:cs="Times New Roman"/>
        </w:rPr>
        <w:t>2016年首次发布为DB64/T 1292—2016；</w:t>
      </w:r>
    </w:p>
    <w:p w14:paraId="02AC5AAC">
      <w:pPr>
        <w:pStyle w:val="58"/>
        <w:ind w:firstLine="420"/>
        <w:rPr>
          <w:rFonts w:hint="default" w:ascii="Times New Roman" w:hAnsi="Times New Roman" w:cs="Times New Roman"/>
        </w:rPr>
      </w:pPr>
      <w:r>
        <w:rPr>
          <w:rFonts w:hint="default" w:ascii="Times New Roman" w:hAnsi="Times New Roman" w:cs="Times New Roman"/>
        </w:rPr>
        <w:t>本次为第一次修订。</w:t>
      </w:r>
    </w:p>
    <w:p w14:paraId="089E93B6">
      <w:pPr>
        <w:pStyle w:val="58"/>
        <w:ind w:firstLine="420"/>
        <w:rPr>
          <w:rFonts w:hint="default" w:ascii="Times New Roman" w:hAnsi="Times New Roman" w:cs="Times New Roman"/>
        </w:rPr>
      </w:pPr>
    </w:p>
    <w:p w14:paraId="26CDD8FD">
      <w:pPr>
        <w:pStyle w:val="58"/>
        <w:ind w:firstLine="420"/>
        <w:rPr>
          <w:rFonts w:hint="default" w:ascii="Times New Roman" w:hAnsi="Times New Roman" w:cs="Times New Roman"/>
        </w:rPr>
      </w:pPr>
    </w:p>
    <w:p w14:paraId="027935E9">
      <w:pPr>
        <w:ind w:firstLine="420" w:firstLineChars="200"/>
        <w:rPr>
          <w:rFonts w:hint="default" w:ascii="Times New Roman" w:hAnsi="Times New Roman" w:cs="Times New Roman"/>
        </w:rPr>
      </w:pPr>
    </w:p>
    <w:p w14:paraId="19D7FBEC">
      <w:pPr>
        <w:rPr>
          <w:rFonts w:hint="default" w:ascii="Times New Roman" w:hAnsi="Times New Roman" w:cs="Times New Roman"/>
          <w:kern w:val="0"/>
          <w:szCs w:val="20"/>
        </w:rPr>
      </w:pPr>
    </w:p>
    <w:p w14:paraId="3315A63D">
      <w:pPr>
        <w:rPr>
          <w:rFonts w:hint="default" w:ascii="Times New Roman" w:hAnsi="Times New Roman" w:cs="Times New Roman"/>
        </w:rPr>
      </w:pPr>
    </w:p>
    <w:p w14:paraId="5770241D">
      <w:pPr>
        <w:rPr>
          <w:rFonts w:hint="default" w:ascii="Times New Roman" w:hAnsi="Times New Roman" w:cs="Times New Roman"/>
        </w:rPr>
      </w:pPr>
    </w:p>
    <w:p w14:paraId="4AFF3E35">
      <w:pPr>
        <w:rPr>
          <w:rFonts w:hint="default" w:ascii="Times New Roman" w:hAnsi="Times New Roman" w:cs="Times New Roman"/>
        </w:rPr>
      </w:pPr>
    </w:p>
    <w:p w14:paraId="1ABD509D">
      <w:pPr>
        <w:rPr>
          <w:rFonts w:hint="default" w:ascii="Times New Roman" w:hAnsi="Times New Roman" w:cs="Times New Roman"/>
        </w:rPr>
      </w:pPr>
    </w:p>
    <w:p w14:paraId="4A3A7987">
      <w:pPr>
        <w:rPr>
          <w:rFonts w:hint="default" w:ascii="Times New Roman" w:hAnsi="Times New Roman" w:cs="Times New Roman"/>
        </w:rPr>
      </w:pPr>
    </w:p>
    <w:p w14:paraId="1C7C9157">
      <w:pPr>
        <w:rPr>
          <w:rFonts w:hint="default" w:ascii="Times New Roman" w:hAnsi="Times New Roman" w:cs="Times New Roman"/>
        </w:rPr>
      </w:pPr>
    </w:p>
    <w:p w14:paraId="4C82D492">
      <w:pPr>
        <w:rPr>
          <w:rFonts w:hint="default" w:ascii="Times New Roman" w:hAnsi="Times New Roman" w:cs="Times New Roman"/>
        </w:rPr>
      </w:pPr>
    </w:p>
    <w:p w14:paraId="766D6F56">
      <w:pPr>
        <w:ind w:firstLine="420" w:firstLineChars="200"/>
        <w:rPr>
          <w:rFonts w:hint="default" w:ascii="Times New Roman" w:hAnsi="Times New Roman" w:cs="Times New Roman"/>
        </w:rPr>
      </w:pPr>
    </w:p>
    <w:p w14:paraId="4744BCC9">
      <w:pPr>
        <w:rPr>
          <w:rFonts w:hint="default" w:ascii="Times New Roman" w:hAnsi="Times New Roman" w:cs="Times New Roman"/>
        </w:rPr>
      </w:pPr>
    </w:p>
    <w:p w14:paraId="4766D395">
      <w:pPr>
        <w:rPr>
          <w:rFonts w:hint="default" w:ascii="Times New Roman" w:hAnsi="Times New Roman" w:cs="Times New Roman"/>
        </w:rPr>
        <w:sectPr>
          <w:headerReference r:id="rId11" w:type="default"/>
          <w:footerReference r:id="rId13" w:type="default"/>
          <w:headerReference r:id="rId12" w:type="even"/>
          <w:footerReference r:id="rId14" w:type="even"/>
          <w:pgSz w:w="11906" w:h="16838"/>
          <w:pgMar w:top="1928" w:right="1134" w:bottom="1134" w:left="1134" w:header="1418" w:footer="1134" w:gutter="284"/>
          <w:pgNumType w:fmt="upperRoman" w:start="1"/>
          <w:cols w:space="425" w:num="1"/>
          <w:formProt w:val="0"/>
          <w:docGrid w:type="lines" w:linePitch="312" w:charSpace="0"/>
        </w:sectPr>
      </w:pPr>
    </w:p>
    <w:bookmarkEnd w:id="24"/>
    <w:p w14:paraId="4ECFC3F5">
      <w:pPr>
        <w:spacing w:line="20" w:lineRule="exact"/>
        <w:jc w:val="center"/>
        <w:rPr>
          <w:rFonts w:hint="default" w:ascii="Times New Roman" w:hAnsi="Times New Roman" w:eastAsia="黑体" w:cs="Times New Roman"/>
          <w:sz w:val="32"/>
          <w:szCs w:val="32"/>
        </w:rPr>
      </w:pPr>
      <w:bookmarkStart w:id="25" w:name="BookMark4"/>
    </w:p>
    <w:p w14:paraId="139D7D20">
      <w:pPr>
        <w:spacing w:line="20" w:lineRule="exact"/>
        <w:jc w:val="center"/>
        <w:rPr>
          <w:rFonts w:hint="default" w:ascii="Times New Roman" w:hAnsi="Times New Roman" w:eastAsia="黑体" w:cs="Times New Roman"/>
          <w:sz w:val="32"/>
          <w:szCs w:val="32"/>
        </w:rPr>
      </w:pPr>
    </w:p>
    <w:sdt>
      <w:sdtPr>
        <w:rPr>
          <w:rFonts w:hint="default" w:ascii="Times New Roman" w:hAnsi="Times New Roman" w:cs="Times New Roman"/>
        </w:rPr>
        <w:tag w:val="NEW_STAND_NAME"/>
        <w:id w:val="595910757"/>
        <w:lock w:val="sdtLocked"/>
        <w:placeholder>
          <w:docPart w:val="687D4555A03943F784E91CF1966CA724"/>
        </w:placeholder>
      </w:sdtPr>
      <w:sdtEndPr>
        <w:rPr>
          <w:rFonts w:hint="default" w:ascii="Times New Roman" w:hAnsi="Times New Roman" w:cs="Times New Roman"/>
        </w:rPr>
      </w:sdtEndPr>
      <w:sdtContent>
        <w:p w14:paraId="1BD5F66A">
          <w:pPr>
            <w:pStyle w:val="179"/>
            <w:spacing w:before="312" w:beforeLines="100" w:after="686" w:afterLines="220"/>
            <w:rPr>
              <w:rFonts w:hint="default" w:ascii="Times New Roman" w:hAnsi="Times New Roman" w:cs="Times New Roman"/>
            </w:rPr>
          </w:pPr>
          <w:bookmarkStart w:id="26" w:name="NEW_STAND_NAME"/>
          <w:r>
            <w:rPr>
              <w:rFonts w:hint="default" w:ascii="Times New Roman" w:hAnsi="Times New Roman" w:cs="Times New Roman"/>
            </w:rPr>
            <w:t>宁夏玉米滴灌种植技术规程</w:t>
          </w:r>
        </w:p>
      </w:sdtContent>
    </w:sdt>
    <w:bookmarkEnd w:id="26"/>
    <w:p w14:paraId="7A5B066A">
      <w:pPr>
        <w:pStyle w:val="106"/>
        <w:spacing w:before="312" w:after="312"/>
        <w:rPr>
          <w:rFonts w:hint="default" w:ascii="Times New Roman" w:hAnsi="Times New Roman" w:cs="Times New Roman"/>
        </w:rPr>
      </w:pPr>
      <w:bookmarkStart w:id="27" w:name="_Toc4463"/>
      <w:bookmarkStart w:id="28" w:name="_Toc24884218"/>
      <w:bookmarkStart w:id="29" w:name="_Toc17233325"/>
      <w:bookmarkStart w:id="30" w:name="_Toc26986771"/>
      <w:bookmarkStart w:id="31" w:name="_Toc23945"/>
      <w:bookmarkStart w:id="32" w:name="_Toc24884211"/>
      <w:bookmarkStart w:id="33" w:name="_Toc176446547"/>
      <w:bookmarkStart w:id="34" w:name="_Toc26648465"/>
      <w:bookmarkStart w:id="35" w:name="_Toc97191423"/>
      <w:bookmarkStart w:id="36" w:name="_Toc26718930"/>
      <w:bookmarkStart w:id="37" w:name="_Toc17233333"/>
      <w:bookmarkStart w:id="38" w:name="_Toc6021"/>
      <w:bookmarkStart w:id="39" w:name="_Toc26986530"/>
      <w:r>
        <w:rPr>
          <w:rFonts w:hint="default" w:ascii="Times New Roman" w:hAnsi="Times New Roman" w:cs="Times New Roman"/>
        </w:rPr>
        <w:t>范围</w:t>
      </w:r>
      <w:bookmarkEnd w:id="27"/>
      <w:bookmarkEnd w:id="28"/>
      <w:bookmarkEnd w:id="29"/>
      <w:bookmarkEnd w:id="30"/>
      <w:bookmarkEnd w:id="31"/>
      <w:bookmarkEnd w:id="32"/>
      <w:bookmarkEnd w:id="33"/>
      <w:bookmarkEnd w:id="34"/>
      <w:bookmarkEnd w:id="35"/>
      <w:bookmarkEnd w:id="36"/>
      <w:bookmarkEnd w:id="37"/>
      <w:bookmarkEnd w:id="38"/>
      <w:bookmarkEnd w:id="39"/>
    </w:p>
    <w:p w14:paraId="61AA0D22">
      <w:pPr>
        <w:pStyle w:val="58"/>
        <w:ind w:firstLine="420"/>
        <w:rPr>
          <w:rFonts w:hint="default" w:ascii="Times New Roman" w:hAnsi="Times New Roman" w:cs="Times New Roman"/>
        </w:rPr>
      </w:pPr>
      <w:bookmarkStart w:id="40" w:name="_Toc24884212"/>
      <w:bookmarkStart w:id="41" w:name="_Toc17233326"/>
      <w:bookmarkStart w:id="42" w:name="_Toc26648466"/>
      <w:bookmarkStart w:id="43" w:name="_Toc17233334"/>
      <w:bookmarkStart w:id="44" w:name="_Toc24884219"/>
      <w:r>
        <w:rPr>
          <w:rFonts w:hint="default" w:ascii="Times New Roman" w:hAnsi="Times New Roman" w:cs="Times New Roman"/>
        </w:rPr>
        <w:t>本文件规定了宁夏玉米滴灌种植技术的术语和定义、产地选择、田间生产技术要求、原水处理和田间管铺设、灌溉和施肥、运行与维护。</w:t>
      </w:r>
    </w:p>
    <w:p w14:paraId="53C6AA11">
      <w:pPr>
        <w:pStyle w:val="58"/>
        <w:ind w:firstLine="420"/>
        <w:rPr>
          <w:rFonts w:hint="default" w:ascii="Times New Roman" w:hAnsi="Times New Roman" w:cs="Times New Roman"/>
        </w:rPr>
      </w:pPr>
      <w:r>
        <w:rPr>
          <w:rFonts w:hint="default" w:ascii="Times New Roman" w:hAnsi="Times New Roman" w:cs="Times New Roman"/>
        </w:rPr>
        <w:t>本文件适用于宁夏引黄灌区露地滴灌玉米、浅埋滴灌玉米集约化种植区。</w:t>
      </w:r>
    </w:p>
    <w:p w14:paraId="5C99F167">
      <w:pPr>
        <w:pStyle w:val="106"/>
        <w:spacing w:before="312" w:after="312"/>
        <w:rPr>
          <w:rFonts w:hint="default" w:ascii="Times New Roman" w:hAnsi="Times New Roman" w:cs="Times New Roman"/>
        </w:rPr>
      </w:pPr>
      <w:bookmarkStart w:id="45" w:name="_Toc26718931"/>
      <w:bookmarkStart w:id="46" w:name="_Toc26986531"/>
      <w:bookmarkStart w:id="47" w:name="_Toc97191424"/>
      <w:bookmarkStart w:id="48" w:name="_Toc25676"/>
      <w:bookmarkStart w:id="49" w:name="_Toc176446548"/>
      <w:bookmarkStart w:id="50" w:name="_Toc12934"/>
      <w:bookmarkStart w:id="51" w:name="_Toc26880"/>
      <w:bookmarkStart w:id="52" w:name="_Toc26986772"/>
      <w:r>
        <w:rPr>
          <w:rFonts w:hint="default" w:ascii="Times New Roman" w:hAnsi="Times New Roman" w:cs="Times New Roman"/>
        </w:rPr>
        <w:t>规范性引用文件</w:t>
      </w:r>
      <w:bookmarkEnd w:id="40"/>
      <w:bookmarkEnd w:id="41"/>
      <w:bookmarkEnd w:id="42"/>
      <w:bookmarkEnd w:id="43"/>
      <w:bookmarkEnd w:id="44"/>
      <w:bookmarkEnd w:id="45"/>
      <w:bookmarkEnd w:id="46"/>
      <w:bookmarkEnd w:id="47"/>
      <w:bookmarkEnd w:id="48"/>
      <w:bookmarkEnd w:id="49"/>
      <w:bookmarkEnd w:id="50"/>
      <w:bookmarkEnd w:id="51"/>
      <w:bookmarkEnd w:id="52"/>
    </w:p>
    <w:sdt>
      <w:sdtPr>
        <w:rPr>
          <w:rFonts w:hint="default" w:ascii="Times New Roman" w:hAnsi="Times New Roman" w:cs="Times New Roman"/>
        </w:rPr>
        <w:id w:val="715848253"/>
        <w:placeholder>
          <w:docPart w:val="D9864D4125EA46C390CE10CC79235E4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default" w:ascii="Times New Roman" w:hAnsi="Times New Roman" w:cs="Times New Roman"/>
        </w:rPr>
      </w:sdtEndPr>
      <w:sdtContent>
        <w:p w14:paraId="18CED85C">
          <w:pPr>
            <w:pStyle w:val="58"/>
            <w:ind w:firstLine="420"/>
            <w:rPr>
              <w:rFonts w:hint="default" w:ascii="Times New Roman" w:hAnsi="Times New Roman" w:cs="Times New Roman"/>
            </w:rPr>
          </w:pPr>
          <w:r>
            <w:rPr>
              <w:rFonts w:hint="default" w:ascii="Times New Roman" w:hAnsi="Times New Roman" w:cs="Times New Roman"/>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F530CBD">
      <w:pPr>
        <w:pStyle w:val="58"/>
        <w:ind w:firstLine="420"/>
        <w:rPr>
          <w:rFonts w:hint="default" w:ascii="Times New Roman" w:hAnsi="Times New Roman" w:cs="Times New Roman"/>
        </w:rPr>
      </w:pPr>
      <w:r>
        <w:rPr>
          <w:rFonts w:hint="default" w:ascii="Times New Roman" w:hAnsi="Times New Roman" w:cs="Times New Roman"/>
        </w:rPr>
        <w:t>GB 5084  农田灌溉水质标准</w:t>
      </w:r>
    </w:p>
    <w:p w14:paraId="201C6F67">
      <w:pPr>
        <w:pStyle w:val="58"/>
        <w:ind w:firstLine="420"/>
        <w:rPr>
          <w:rFonts w:hint="default" w:ascii="Times New Roman" w:hAnsi="Times New Roman" w:cs="Times New Roman"/>
        </w:rPr>
      </w:pPr>
      <w:r>
        <w:rPr>
          <w:rFonts w:hint="default" w:ascii="Times New Roman" w:hAnsi="Times New Roman" w:cs="Times New Roman"/>
        </w:rPr>
        <w:t>GB/T 8321.10  农药合理使用准则（十）</w:t>
      </w:r>
    </w:p>
    <w:p w14:paraId="7DEA737E">
      <w:pPr>
        <w:pStyle w:val="58"/>
        <w:ind w:firstLine="420"/>
        <w:rPr>
          <w:rFonts w:hint="default" w:ascii="Times New Roman" w:hAnsi="Times New Roman" w:cs="Times New Roman"/>
        </w:rPr>
      </w:pPr>
      <w:r>
        <w:rPr>
          <w:rFonts w:hint="default" w:ascii="Times New Roman" w:hAnsi="Times New Roman" w:cs="Times New Roman"/>
        </w:rPr>
        <w:t>GB 15618  土壤环境质量 农用地土壤污染风险管控标准（试行）</w:t>
      </w:r>
    </w:p>
    <w:p w14:paraId="265DA801">
      <w:pPr>
        <w:pStyle w:val="58"/>
        <w:ind w:firstLine="420"/>
        <w:rPr>
          <w:rFonts w:hint="default" w:ascii="Times New Roman" w:hAnsi="Times New Roman" w:cs="Times New Roman"/>
          <w:bCs/>
        </w:rPr>
      </w:pPr>
      <w:r>
        <w:rPr>
          <w:rFonts w:hint="default" w:ascii="Times New Roman" w:hAnsi="Times New Roman" w:cs="Times New Roman"/>
        </w:rPr>
        <w:t xml:space="preserve">GB/T50485  </w:t>
      </w:r>
      <w:r>
        <w:rPr>
          <w:rFonts w:hint="default" w:ascii="Times New Roman" w:hAnsi="Times New Roman" w:cs="Times New Roman"/>
          <w:bCs/>
        </w:rPr>
        <w:t>微灌工程技术标准</w:t>
      </w:r>
    </w:p>
    <w:p w14:paraId="7202F252">
      <w:pPr>
        <w:pStyle w:val="58"/>
        <w:ind w:firstLine="420"/>
        <w:rPr>
          <w:rFonts w:hint="default" w:ascii="Times New Roman" w:hAnsi="Times New Roman" w:cs="Times New Roman"/>
          <w:bCs/>
        </w:rPr>
      </w:pPr>
      <w:r>
        <w:rPr>
          <w:rFonts w:hint="default" w:ascii="Times New Roman" w:hAnsi="Times New Roman" w:cs="Times New Roman"/>
        </w:rPr>
        <w:t>NY/T 1276  农药安全使用规范 总则</w:t>
      </w:r>
    </w:p>
    <w:p w14:paraId="76172A53">
      <w:pPr>
        <w:pStyle w:val="58"/>
        <w:ind w:firstLine="420"/>
        <w:rPr>
          <w:rFonts w:hint="default" w:ascii="Times New Roman" w:hAnsi="Times New Roman" w:cs="Times New Roman"/>
          <w:bCs/>
        </w:rPr>
      </w:pPr>
      <w:r>
        <w:rPr>
          <w:rFonts w:hint="default" w:ascii="Times New Roman" w:hAnsi="Times New Roman" w:cs="Times New Roman"/>
          <w:bCs/>
        </w:rPr>
        <w:t>NY/T 1355  玉米收获机 作业质量</w:t>
      </w:r>
    </w:p>
    <w:p w14:paraId="71BF99C7">
      <w:pPr>
        <w:pStyle w:val="58"/>
        <w:ind w:firstLine="420"/>
        <w:rPr>
          <w:rFonts w:hint="default" w:ascii="Times New Roman" w:hAnsi="Times New Roman" w:cs="Times New Roman"/>
        </w:rPr>
      </w:pPr>
      <w:r>
        <w:rPr>
          <w:rFonts w:hint="default" w:ascii="Times New Roman" w:hAnsi="Times New Roman" w:cs="Times New Roman"/>
        </w:rPr>
        <w:t>NY/T 1634  耕地地力调查与质量评价技术规程</w:t>
      </w:r>
    </w:p>
    <w:p w14:paraId="5CAEA85A">
      <w:pPr>
        <w:pStyle w:val="106"/>
        <w:spacing w:before="312" w:after="312"/>
        <w:rPr>
          <w:rFonts w:hint="default" w:ascii="Times New Roman" w:hAnsi="Times New Roman" w:cs="Times New Roman"/>
        </w:rPr>
      </w:pPr>
      <w:bookmarkStart w:id="53" w:name="_Toc176446549"/>
      <w:bookmarkStart w:id="54" w:name="_Toc97191425"/>
      <w:bookmarkStart w:id="55" w:name="_Toc12860"/>
      <w:bookmarkStart w:id="56" w:name="_Toc16700"/>
      <w:bookmarkStart w:id="57" w:name="_Toc11596"/>
      <w:r>
        <w:rPr>
          <w:rFonts w:hint="default" w:ascii="Times New Roman" w:hAnsi="Times New Roman" w:cs="Times New Roman"/>
          <w:szCs w:val="21"/>
        </w:rPr>
        <w:t>术语和定义</w:t>
      </w:r>
      <w:bookmarkEnd w:id="53"/>
      <w:bookmarkEnd w:id="54"/>
      <w:bookmarkEnd w:id="55"/>
      <w:bookmarkEnd w:id="56"/>
      <w:bookmarkEnd w:id="57"/>
    </w:p>
    <w:sdt>
      <w:sdtPr>
        <w:rPr>
          <w:rFonts w:hint="default" w:ascii="Times New Roman" w:hAnsi="Times New Roman" w:cs="Times New Roman"/>
        </w:rPr>
        <w:id w:val="-1909835108"/>
        <w:placeholder>
          <w:docPart w:val="5BBF1B5E7A9F4B27969268CF7DA3CC43"/>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default" w:ascii="Times New Roman" w:hAnsi="Times New Roman" w:cs="Times New Roman"/>
        </w:rPr>
      </w:sdtEndPr>
      <w:sdtContent>
        <w:p w14:paraId="337D78D6">
          <w:pPr>
            <w:pStyle w:val="58"/>
            <w:ind w:firstLine="420"/>
            <w:rPr>
              <w:rFonts w:hint="default" w:ascii="Times New Roman" w:hAnsi="Times New Roman" w:cs="Times New Roman"/>
            </w:rPr>
          </w:pPr>
          <w:bookmarkStart w:id="58" w:name="_Toc26986532"/>
          <w:bookmarkEnd w:id="58"/>
          <w:r>
            <w:rPr>
              <w:rFonts w:hint="default" w:ascii="Times New Roman" w:hAnsi="Times New Roman" w:cs="Times New Roman"/>
            </w:rPr>
            <w:t>下列术语和定义适用于本文件。</w:t>
          </w:r>
        </w:p>
      </w:sdtContent>
    </w:sdt>
    <w:p w14:paraId="6F91720C">
      <w:pPr>
        <w:pStyle w:val="107"/>
        <w:spacing w:before="0" w:beforeLines="0" w:after="0" w:afterLines="0"/>
        <w:ind w:left="0"/>
        <w:rPr>
          <w:rFonts w:hint="default" w:ascii="Times New Roman" w:hAnsi="Times New Roman" w:cs="Times New Roman"/>
        </w:rPr>
      </w:pPr>
      <w:bookmarkStart w:id="59" w:name="_Toc3372"/>
      <w:bookmarkEnd w:id="59"/>
      <w:bookmarkStart w:id="60" w:name="_Toc176446550"/>
      <w:bookmarkEnd w:id="60"/>
      <w:bookmarkStart w:id="61" w:name="_Toc23842"/>
      <w:bookmarkEnd w:id="61"/>
      <w:bookmarkStart w:id="62" w:name="_Toc30557"/>
      <w:bookmarkEnd w:id="62"/>
    </w:p>
    <w:p w14:paraId="05002626">
      <w:pPr>
        <w:pStyle w:val="58"/>
        <w:ind w:firstLine="420"/>
        <w:rPr>
          <w:rFonts w:hint="default" w:ascii="Times New Roman" w:hAnsi="Times New Roman" w:eastAsia="黑体" w:cs="Times New Roman"/>
        </w:rPr>
      </w:pPr>
      <w:r>
        <w:rPr>
          <w:rFonts w:hint="default" w:ascii="Times New Roman" w:hAnsi="Times New Roman" w:eastAsia="黑体" w:cs="Times New Roman"/>
        </w:rPr>
        <w:t>集约化 Intensification</w:t>
      </w:r>
    </w:p>
    <w:p w14:paraId="71C43513">
      <w:pPr>
        <w:pStyle w:val="58"/>
        <w:ind w:firstLine="420"/>
        <w:rPr>
          <w:rFonts w:hint="default" w:ascii="Times New Roman" w:hAnsi="Times New Roman" w:cs="Times New Roman"/>
        </w:rPr>
      </w:pPr>
      <w:r>
        <w:rPr>
          <w:rFonts w:hint="default" w:ascii="Times New Roman" w:hAnsi="Times New Roman" w:cs="Times New Roman"/>
        </w:rPr>
        <w:t>实行统一播种、统一品种、统一灌溉、统一施肥、统一病虫害防治、统一收获的种植管理。</w:t>
      </w:r>
    </w:p>
    <w:p w14:paraId="1EDEE611">
      <w:pPr>
        <w:pStyle w:val="107"/>
        <w:spacing w:before="0" w:beforeLines="0" w:after="0" w:afterLines="0"/>
        <w:ind w:left="0"/>
        <w:rPr>
          <w:rFonts w:hint="default" w:ascii="Times New Roman" w:hAnsi="Times New Roman" w:cs="Times New Roman"/>
        </w:rPr>
      </w:pPr>
      <w:bookmarkStart w:id="63" w:name="_Toc1297"/>
      <w:bookmarkEnd w:id="63"/>
      <w:bookmarkStart w:id="64" w:name="_Toc176446551"/>
      <w:bookmarkEnd w:id="64"/>
      <w:bookmarkStart w:id="65" w:name="_Toc21408"/>
      <w:bookmarkEnd w:id="65"/>
      <w:bookmarkStart w:id="66" w:name="_Toc15204"/>
      <w:bookmarkEnd w:id="66"/>
    </w:p>
    <w:p w14:paraId="31C85B85">
      <w:pPr>
        <w:pStyle w:val="58"/>
        <w:ind w:firstLine="420"/>
        <w:rPr>
          <w:rFonts w:hint="default" w:ascii="Times New Roman" w:hAnsi="Times New Roman" w:eastAsia="黑体" w:cs="Times New Roman"/>
        </w:rPr>
      </w:pPr>
      <w:r>
        <w:rPr>
          <w:rFonts w:hint="default" w:ascii="Times New Roman" w:hAnsi="Times New Roman" w:eastAsia="黑体" w:cs="Times New Roman"/>
        </w:rPr>
        <w:t>水体浊度 Water Turbidity</w:t>
      </w:r>
    </w:p>
    <w:p w14:paraId="63634DA7">
      <w:pPr>
        <w:pStyle w:val="58"/>
        <w:ind w:firstLine="420"/>
        <w:rPr>
          <w:rFonts w:hint="default" w:ascii="Times New Roman" w:hAnsi="Times New Roman" w:cs="Times New Roman"/>
        </w:rPr>
      </w:pPr>
      <w:r>
        <w:rPr>
          <w:rFonts w:hint="default" w:ascii="Times New Roman" w:hAnsi="Times New Roman" w:cs="Times New Roman"/>
        </w:rPr>
        <w:t>灌溉用水体的清亮程度，受微细粘粒、浮游生物等悬浮颗粒影响，量纲为NTU。</w:t>
      </w:r>
    </w:p>
    <w:p w14:paraId="73A6E39F">
      <w:pPr>
        <w:pStyle w:val="107"/>
        <w:spacing w:before="0" w:beforeLines="0" w:after="0" w:afterLines="0"/>
        <w:ind w:left="0"/>
        <w:rPr>
          <w:rFonts w:hint="default" w:ascii="Times New Roman" w:hAnsi="Times New Roman" w:cs="Times New Roman"/>
        </w:rPr>
      </w:pPr>
      <w:bookmarkStart w:id="67" w:name="_Toc4757"/>
      <w:bookmarkEnd w:id="67"/>
      <w:bookmarkStart w:id="68" w:name="_Toc7970"/>
      <w:bookmarkEnd w:id="68"/>
      <w:bookmarkStart w:id="69" w:name="_Toc176446552"/>
      <w:bookmarkEnd w:id="69"/>
      <w:bookmarkStart w:id="70" w:name="_Toc2776"/>
      <w:bookmarkEnd w:id="70"/>
    </w:p>
    <w:p w14:paraId="149A3D83">
      <w:pPr>
        <w:pStyle w:val="58"/>
        <w:ind w:firstLine="420"/>
        <w:rPr>
          <w:rFonts w:hint="default" w:ascii="Times New Roman" w:hAnsi="Times New Roman" w:eastAsia="黑体" w:cs="Times New Roman"/>
        </w:rPr>
      </w:pPr>
      <w:r>
        <w:rPr>
          <w:rFonts w:hint="default" w:ascii="Times New Roman" w:hAnsi="Times New Roman" w:eastAsia="黑体" w:cs="Times New Roman"/>
        </w:rPr>
        <w:t>水肥一体化技术 Fertigation Technology</w:t>
      </w:r>
    </w:p>
    <w:p w14:paraId="4B8A2542">
      <w:pPr>
        <w:pStyle w:val="58"/>
        <w:ind w:firstLine="420"/>
        <w:rPr>
          <w:rFonts w:hint="default" w:ascii="Times New Roman" w:hAnsi="Times New Roman" w:cs="Times New Roman"/>
        </w:rPr>
      </w:pPr>
      <w:r>
        <w:rPr>
          <w:rFonts w:hint="default" w:ascii="Times New Roman" w:hAnsi="Times New Roman" w:cs="Times New Roman"/>
        </w:rPr>
        <w:t>通过输配水管道系统，将可溶性固体肥料或液体肥料配兑成液体肥，与灌溉水一起按比例定时、定量、均匀、准确直接输送到作物根系附近土壤的技术</w:t>
      </w:r>
    </w:p>
    <w:p w14:paraId="0DC43663">
      <w:pPr>
        <w:pStyle w:val="107"/>
        <w:spacing w:before="0" w:beforeLines="0" w:after="0" w:afterLines="0"/>
        <w:ind w:left="0"/>
        <w:rPr>
          <w:rFonts w:hint="default" w:ascii="Times New Roman" w:hAnsi="Times New Roman" w:cs="Times New Roman"/>
        </w:rPr>
      </w:pPr>
      <w:bookmarkStart w:id="71" w:name="_Toc176446553"/>
      <w:bookmarkEnd w:id="71"/>
      <w:bookmarkStart w:id="72" w:name="_Toc12993"/>
      <w:bookmarkEnd w:id="72"/>
      <w:bookmarkStart w:id="73" w:name="_Toc7572"/>
      <w:bookmarkEnd w:id="73"/>
      <w:bookmarkStart w:id="74" w:name="_Toc5739"/>
      <w:bookmarkEnd w:id="74"/>
    </w:p>
    <w:p w14:paraId="201A6D7A">
      <w:pPr>
        <w:pStyle w:val="58"/>
        <w:ind w:firstLine="420"/>
        <w:rPr>
          <w:rFonts w:hint="default" w:ascii="Times New Roman" w:hAnsi="Times New Roman" w:eastAsia="黑体" w:cs="Times New Roman"/>
        </w:rPr>
      </w:pPr>
      <w:r>
        <w:rPr>
          <w:rFonts w:hint="default" w:ascii="Times New Roman" w:hAnsi="Times New Roman" w:eastAsia="黑体" w:cs="Times New Roman"/>
        </w:rPr>
        <w:t>水溶肥 Water-Soluble Fertilizer</w:t>
      </w:r>
    </w:p>
    <w:p w14:paraId="30E6AB0D">
      <w:pPr>
        <w:pStyle w:val="58"/>
        <w:ind w:firstLine="420"/>
        <w:rPr>
          <w:rFonts w:hint="default" w:ascii="Times New Roman" w:hAnsi="Times New Roman" w:cs="Times New Roman"/>
        </w:rPr>
      </w:pPr>
      <w:r>
        <w:rPr>
          <w:rFonts w:hint="default" w:ascii="Times New Roman" w:hAnsi="Times New Roman" w:cs="Times New Roman"/>
        </w:rPr>
        <w:t>能够完全溶解于水的多元素复合型肥料，可迅速地溶解于水中，更容易被作物吸收利用。</w:t>
      </w:r>
    </w:p>
    <w:p w14:paraId="0EF4122A">
      <w:pPr>
        <w:pStyle w:val="107"/>
        <w:spacing w:before="0" w:beforeLines="0" w:after="0" w:afterLines="0"/>
        <w:ind w:left="0"/>
        <w:rPr>
          <w:rFonts w:hint="default" w:ascii="Times New Roman" w:hAnsi="Times New Roman" w:cs="Times New Roman"/>
        </w:rPr>
      </w:pPr>
      <w:bookmarkStart w:id="75" w:name="_Toc29638"/>
      <w:bookmarkEnd w:id="75"/>
      <w:bookmarkStart w:id="76" w:name="_Toc19483"/>
      <w:bookmarkEnd w:id="76"/>
      <w:bookmarkStart w:id="77" w:name="_Toc176446554"/>
      <w:bookmarkEnd w:id="77"/>
      <w:bookmarkStart w:id="78" w:name="_Toc21754"/>
      <w:bookmarkEnd w:id="78"/>
    </w:p>
    <w:p w14:paraId="77591F89">
      <w:pPr>
        <w:pStyle w:val="58"/>
        <w:ind w:firstLine="420"/>
        <w:rPr>
          <w:rFonts w:hint="default" w:ascii="Times New Roman" w:hAnsi="Times New Roman" w:eastAsia="黑体" w:cs="Times New Roman"/>
        </w:rPr>
      </w:pPr>
      <w:r>
        <w:rPr>
          <w:rFonts w:hint="default" w:ascii="Times New Roman" w:hAnsi="Times New Roman" w:eastAsia="黑体" w:cs="Times New Roman"/>
        </w:rPr>
        <w:t>浅埋滴灌技术 Shallow-Buried Drip Irrigation Technology</w:t>
      </w:r>
    </w:p>
    <w:p w14:paraId="311BB88A">
      <w:pPr>
        <w:pStyle w:val="58"/>
        <w:ind w:firstLine="420"/>
        <w:rPr>
          <w:rFonts w:hint="default" w:ascii="Times New Roman" w:hAnsi="Times New Roman" w:cs="Times New Roman"/>
        </w:rPr>
      </w:pPr>
      <w:r>
        <w:rPr>
          <w:rFonts w:hint="default" w:ascii="Times New Roman" w:hAnsi="Times New Roman" w:cs="Times New Roman"/>
        </w:rPr>
        <w:t>采用宽窄行种植模式，将滴灌带埋设于窄行中间，埋置深度3cm~5cm，利用输水管道将具有一定压力的水经滴灌带滴入植物根部附近土壤的一种灌溉技术。</w:t>
      </w:r>
    </w:p>
    <w:p w14:paraId="31BE82E8">
      <w:pPr>
        <w:pStyle w:val="106"/>
        <w:spacing w:before="312" w:after="312"/>
        <w:rPr>
          <w:rFonts w:hint="default" w:ascii="Times New Roman" w:hAnsi="Times New Roman" w:cs="Times New Roman"/>
        </w:rPr>
      </w:pPr>
      <w:bookmarkStart w:id="79" w:name="_Toc8934"/>
      <w:bookmarkStart w:id="80" w:name="_Toc29393"/>
      <w:bookmarkStart w:id="81" w:name="_Toc176446564"/>
      <w:bookmarkStart w:id="82" w:name="_Toc3695"/>
      <w:r>
        <w:rPr>
          <w:rFonts w:hint="default" w:ascii="Times New Roman" w:hAnsi="Times New Roman" w:cs="Times New Roman"/>
        </w:rPr>
        <w:t>产地选择</w:t>
      </w:r>
    </w:p>
    <w:p w14:paraId="74B0BF3E">
      <w:pPr>
        <w:pStyle w:val="107"/>
        <w:spacing w:before="156" w:after="156"/>
        <w:ind w:left="0"/>
        <w:rPr>
          <w:rFonts w:hint="default" w:ascii="Times New Roman" w:hAnsi="Times New Roman" w:cs="Times New Roman"/>
        </w:rPr>
      </w:pPr>
      <w:r>
        <w:rPr>
          <w:rFonts w:hint="default" w:ascii="Times New Roman" w:hAnsi="Times New Roman" w:cs="Times New Roman"/>
        </w:rPr>
        <w:t>土壤条件</w:t>
      </w:r>
    </w:p>
    <w:p w14:paraId="3BA599DF">
      <w:pPr>
        <w:pStyle w:val="232"/>
        <w:rPr>
          <w:rFonts w:hint="default" w:ascii="Times New Roman" w:hAnsi="Times New Roman" w:cs="Times New Roman"/>
          <w:color w:val="000000"/>
        </w:rPr>
      </w:pPr>
      <w:r>
        <w:rPr>
          <w:rFonts w:hint="default" w:ascii="Times New Roman" w:hAnsi="Times New Roman" w:cs="Times New Roman"/>
          <w:color w:val="000000"/>
        </w:rPr>
        <w:t>除符合GB 15618规定外，还满足土层深厚、地力均衡、质地良好、土质疏松，土壤 pH 7.5～8.5。</w:t>
      </w:r>
    </w:p>
    <w:p w14:paraId="5B0CCCA9">
      <w:pPr>
        <w:pStyle w:val="107"/>
        <w:spacing w:before="156" w:after="156"/>
        <w:ind w:left="0"/>
        <w:rPr>
          <w:rFonts w:hint="default" w:ascii="Times New Roman" w:hAnsi="Times New Roman" w:cs="Times New Roman"/>
        </w:rPr>
      </w:pPr>
      <w:r>
        <w:rPr>
          <w:rFonts w:hint="default" w:ascii="Times New Roman" w:hAnsi="Times New Roman" w:cs="Times New Roman"/>
        </w:rPr>
        <w:t>水源与水质条件</w:t>
      </w:r>
    </w:p>
    <w:p w14:paraId="151468A2">
      <w:pPr>
        <w:pStyle w:val="232"/>
        <w:rPr>
          <w:rFonts w:hint="default" w:ascii="Times New Roman" w:hAnsi="Times New Roman" w:cs="Times New Roman"/>
          <w:color w:val="000000"/>
        </w:rPr>
      </w:pPr>
      <w:r>
        <w:rPr>
          <w:rFonts w:hint="default" w:ascii="Times New Roman" w:hAnsi="Times New Roman" w:cs="Times New Roman"/>
          <w:color w:val="000000"/>
        </w:rPr>
        <w:t>除符合GB/T 5084与 GB/T50485规定外，还满足水体浊度≤150 NTU，泥沙含量≤100 mg/L，pH值7.0～8.5。</w:t>
      </w:r>
    </w:p>
    <w:p w14:paraId="3E4835CB">
      <w:pPr>
        <w:pStyle w:val="106"/>
        <w:spacing w:before="312" w:after="312"/>
        <w:rPr>
          <w:rFonts w:hint="default" w:ascii="Times New Roman" w:hAnsi="Times New Roman" w:cs="Times New Roman"/>
        </w:rPr>
      </w:pPr>
      <w:r>
        <w:rPr>
          <w:rFonts w:hint="default" w:ascii="Times New Roman" w:hAnsi="Times New Roman" w:cs="Times New Roman"/>
        </w:rPr>
        <w:t>田间生产技术要求</w:t>
      </w:r>
    </w:p>
    <w:p w14:paraId="73447353">
      <w:pPr>
        <w:pStyle w:val="107"/>
        <w:spacing w:before="156" w:after="156"/>
        <w:ind w:left="0"/>
        <w:rPr>
          <w:rFonts w:hint="default" w:ascii="Times New Roman" w:hAnsi="Times New Roman" w:cs="Times New Roman"/>
        </w:rPr>
      </w:pPr>
      <w:r>
        <w:rPr>
          <w:rFonts w:hint="default" w:ascii="Times New Roman" w:hAnsi="Times New Roman" w:cs="Times New Roman"/>
        </w:rPr>
        <w:t>播前准备</w:t>
      </w:r>
    </w:p>
    <w:p w14:paraId="24093B67">
      <w:pPr>
        <w:pStyle w:val="67"/>
        <w:spacing w:before="156" w:after="156"/>
        <w:rPr>
          <w:rFonts w:hint="default" w:ascii="Times New Roman" w:hAnsi="Times New Roman" w:cs="Times New Roman"/>
        </w:rPr>
      </w:pPr>
      <w:r>
        <w:rPr>
          <w:rFonts w:hint="default" w:ascii="Times New Roman" w:hAnsi="Times New Roman" w:cs="Times New Roman"/>
        </w:rPr>
        <w:t>品种选择</w:t>
      </w:r>
    </w:p>
    <w:p w14:paraId="1138A8D3">
      <w:pPr>
        <w:pStyle w:val="232"/>
        <w:rPr>
          <w:rFonts w:hint="default" w:ascii="Times New Roman" w:hAnsi="Times New Roman" w:cs="Times New Roman"/>
          <w:color w:val="000000"/>
        </w:rPr>
      </w:pPr>
      <w:r>
        <w:rPr>
          <w:rFonts w:hint="default" w:ascii="Times New Roman" w:hAnsi="Times New Roman" w:cs="Times New Roman"/>
          <w:color w:val="000000"/>
        </w:rPr>
        <w:t>选择适宜宁夏推广的高产、优质、抗逆性强、株型紧凑、茎节间粗短、适宜密植、抗倒伏的优良品种。</w:t>
      </w:r>
    </w:p>
    <w:p w14:paraId="45B1684A">
      <w:pPr>
        <w:pStyle w:val="67"/>
        <w:spacing w:before="156" w:after="156"/>
        <w:rPr>
          <w:rFonts w:hint="default" w:ascii="Times New Roman" w:hAnsi="Times New Roman" w:cs="Times New Roman"/>
        </w:rPr>
      </w:pPr>
      <w:r>
        <w:rPr>
          <w:rFonts w:hint="default" w:ascii="Times New Roman" w:hAnsi="Times New Roman" w:cs="Times New Roman"/>
        </w:rPr>
        <w:t>肥料准备</w:t>
      </w:r>
    </w:p>
    <w:p w14:paraId="41FABD38">
      <w:pPr>
        <w:pStyle w:val="96"/>
        <w:spacing w:before="156" w:after="156"/>
        <w:rPr>
          <w:rFonts w:hint="default" w:ascii="Times New Roman" w:hAnsi="Times New Roman" w:cs="Times New Roman"/>
        </w:rPr>
      </w:pPr>
      <w:r>
        <w:rPr>
          <w:rFonts w:hint="default" w:ascii="Times New Roman" w:hAnsi="Times New Roman" w:cs="Times New Roman"/>
        </w:rPr>
        <w:t>基肥</w:t>
      </w:r>
    </w:p>
    <w:p w14:paraId="4B39DB1E">
      <w:pPr>
        <w:pStyle w:val="232"/>
        <w:rPr>
          <w:rFonts w:hint="default" w:ascii="Times New Roman" w:hAnsi="Times New Roman" w:cs="Times New Roman"/>
          <w:color w:val="000000"/>
        </w:rPr>
      </w:pPr>
      <w:r>
        <w:rPr>
          <w:rFonts w:hint="default" w:ascii="Times New Roman" w:hAnsi="Times New Roman" w:cs="Times New Roman"/>
          <w:color w:val="000000"/>
        </w:rPr>
        <w:t>结合秋翻地或早春翻地施腐熟有机肥，其中高肥力水平施1000kg/667m</w:t>
      </w:r>
      <w:r>
        <w:rPr>
          <w:rFonts w:hint="default" w:ascii="Times New Roman" w:hAnsi="Times New Roman" w:cs="Times New Roman"/>
          <w:color w:val="000000"/>
          <w:vertAlign w:val="superscript"/>
        </w:rPr>
        <w:t>2</w:t>
      </w:r>
      <w:r>
        <w:rPr>
          <w:rFonts w:hint="default" w:ascii="Times New Roman" w:hAnsi="Times New Roman" w:cs="Times New Roman"/>
          <w:color w:val="000000"/>
        </w:rPr>
        <w:t>，中肥力水平施1500kg/667m</w:t>
      </w:r>
      <w:r>
        <w:rPr>
          <w:rFonts w:hint="default" w:ascii="Times New Roman" w:hAnsi="Times New Roman" w:cs="Times New Roman"/>
          <w:color w:val="000000"/>
          <w:vertAlign w:val="superscript"/>
        </w:rPr>
        <w:t>2</w:t>
      </w:r>
      <w:r>
        <w:rPr>
          <w:rFonts w:hint="default" w:ascii="Times New Roman" w:hAnsi="Times New Roman" w:cs="Times New Roman"/>
          <w:color w:val="000000"/>
        </w:rPr>
        <w:t>～2000kg/667m</w:t>
      </w:r>
      <w:r>
        <w:rPr>
          <w:rFonts w:hint="default" w:ascii="Times New Roman" w:hAnsi="Times New Roman" w:cs="Times New Roman"/>
          <w:color w:val="000000"/>
          <w:vertAlign w:val="superscript"/>
        </w:rPr>
        <w:t>2</w:t>
      </w:r>
      <w:r>
        <w:rPr>
          <w:rFonts w:hint="default" w:ascii="Times New Roman" w:hAnsi="Times New Roman" w:cs="Times New Roman"/>
          <w:color w:val="000000"/>
        </w:rPr>
        <w:t>，低肥力水平施2000kg/667m</w:t>
      </w:r>
      <w:r>
        <w:rPr>
          <w:rFonts w:hint="default" w:ascii="Times New Roman" w:hAnsi="Times New Roman" w:cs="Times New Roman"/>
          <w:color w:val="000000"/>
          <w:vertAlign w:val="superscript"/>
        </w:rPr>
        <w:t>2</w:t>
      </w:r>
      <w:r>
        <w:rPr>
          <w:rFonts w:hint="default" w:ascii="Times New Roman" w:hAnsi="Times New Roman" w:cs="Times New Roman"/>
          <w:color w:val="000000"/>
        </w:rPr>
        <w:t>～3000kg/667m</w:t>
      </w:r>
      <w:r>
        <w:rPr>
          <w:rFonts w:hint="default" w:ascii="Times New Roman" w:hAnsi="Times New Roman" w:cs="Times New Roman"/>
          <w:color w:val="000000"/>
          <w:vertAlign w:val="superscript"/>
        </w:rPr>
        <w:t>2</w:t>
      </w:r>
      <w:r>
        <w:rPr>
          <w:rFonts w:hint="default" w:ascii="Times New Roman" w:hAnsi="Times New Roman" w:cs="Times New Roman"/>
          <w:color w:val="000000"/>
        </w:rPr>
        <w:t>。</w:t>
      </w:r>
    </w:p>
    <w:p w14:paraId="0597FC92">
      <w:pPr>
        <w:pStyle w:val="96"/>
        <w:spacing w:before="156" w:after="156"/>
        <w:rPr>
          <w:rFonts w:hint="default" w:ascii="Times New Roman" w:hAnsi="Times New Roman" w:cs="Times New Roman"/>
        </w:rPr>
      </w:pPr>
      <w:r>
        <w:rPr>
          <w:rFonts w:hint="default" w:ascii="Times New Roman" w:hAnsi="Times New Roman" w:cs="Times New Roman"/>
        </w:rPr>
        <w:t>种肥</w:t>
      </w:r>
    </w:p>
    <w:p w14:paraId="32C12B61">
      <w:pPr>
        <w:pStyle w:val="232"/>
        <w:rPr>
          <w:rFonts w:hint="default" w:ascii="Times New Roman" w:hAnsi="Times New Roman" w:cs="Times New Roman"/>
          <w:color w:val="000000"/>
        </w:rPr>
      </w:pPr>
      <w:r>
        <w:rPr>
          <w:rFonts w:hint="default" w:ascii="Times New Roman" w:hAnsi="Times New Roman" w:cs="Times New Roman"/>
          <w:color w:val="000000"/>
        </w:rPr>
        <w:t>结合机械播种作业，机施磷酸二铵5kg/667m</w:t>
      </w:r>
      <w:r>
        <w:rPr>
          <w:rFonts w:hint="default" w:ascii="Times New Roman" w:hAnsi="Times New Roman" w:cs="Times New Roman"/>
          <w:color w:val="000000"/>
          <w:vertAlign w:val="superscript"/>
        </w:rPr>
        <w:t>2</w:t>
      </w:r>
      <w:r>
        <w:rPr>
          <w:rFonts w:hint="default" w:ascii="Times New Roman" w:hAnsi="Times New Roman" w:cs="Times New Roman"/>
          <w:color w:val="000000"/>
        </w:rPr>
        <w:t>～8kg/667m</w:t>
      </w:r>
      <w:r>
        <w:rPr>
          <w:rFonts w:hint="default" w:ascii="Times New Roman" w:hAnsi="Times New Roman" w:cs="Times New Roman"/>
          <w:color w:val="000000"/>
          <w:vertAlign w:val="superscript"/>
        </w:rPr>
        <w:t>2</w:t>
      </w:r>
      <w:r>
        <w:rPr>
          <w:rFonts w:hint="default" w:ascii="Times New Roman" w:hAnsi="Times New Roman" w:cs="Times New Roman"/>
          <w:color w:val="000000"/>
        </w:rPr>
        <w:t>。</w:t>
      </w:r>
    </w:p>
    <w:p w14:paraId="37AA06E0">
      <w:pPr>
        <w:pStyle w:val="67"/>
        <w:spacing w:before="156" w:after="156"/>
        <w:rPr>
          <w:rFonts w:hint="default" w:ascii="Times New Roman" w:hAnsi="Times New Roman" w:cs="Times New Roman"/>
        </w:rPr>
      </w:pPr>
      <w:r>
        <w:rPr>
          <w:rFonts w:hint="default" w:ascii="Times New Roman" w:hAnsi="Times New Roman" w:cs="Times New Roman"/>
        </w:rPr>
        <w:t>耕地准备</w:t>
      </w:r>
    </w:p>
    <w:p w14:paraId="10D682AA">
      <w:pPr>
        <w:pStyle w:val="96"/>
        <w:spacing w:before="156" w:after="156"/>
        <w:rPr>
          <w:rFonts w:hint="default" w:ascii="Times New Roman" w:hAnsi="Times New Roman" w:cs="Times New Roman"/>
        </w:rPr>
      </w:pPr>
      <w:r>
        <w:rPr>
          <w:rFonts w:hint="default" w:ascii="Times New Roman" w:hAnsi="Times New Roman" w:cs="Times New Roman"/>
        </w:rPr>
        <w:t>选地</w:t>
      </w:r>
    </w:p>
    <w:p w14:paraId="105F6B95">
      <w:pPr>
        <w:pStyle w:val="232"/>
        <w:rPr>
          <w:rFonts w:hint="default" w:ascii="Times New Roman" w:hAnsi="Times New Roman" w:cs="Times New Roman"/>
          <w:color w:val="000000"/>
        </w:rPr>
      </w:pPr>
      <w:r>
        <w:rPr>
          <w:rFonts w:hint="default" w:ascii="Times New Roman" w:hAnsi="Times New Roman" w:cs="Times New Roman"/>
          <w:color w:val="000000"/>
        </w:rPr>
        <w:t>田面平坦、地力均衡，土层深厚、结构良好、土壤熟化程度好。</w:t>
      </w:r>
    </w:p>
    <w:p w14:paraId="37AEF2F8">
      <w:pPr>
        <w:pStyle w:val="96"/>
        <w:spacing w:before="156" w:after="156"/>
        <w:rPr>
          <w:rFonts w:hint="default" w:ascii="Times New Roman" w:hAnsi="Times New Roman" w:cs="Times New Roman"/>
        </w:rPr>
      </w:pPr>
      <w:r>
        <w:rPr>
          <w:rFonts w:hint="default" w:ascii="Times New Roman" w:hAnsi="Times New Roman" w:cs="Times New Roman"/>
        </w:rPr>
        <w:t>秋翻灭茬</w:t>
      </w:r>
    </w:p>
    <w:p w14:paraId="4DABE4A4">
      <w:pPr>
        <w:pStyle w:val="232"/>
        <w:rPr>
          <w:rFonts w:hint="default" w:ascii="Times New Roman" w:hAnsi="Times New Roman" w:cs="Times New Roman"/>
          <w:color w:val="000000"/>
        </w:rPr>
      </w:pPr>
      <w:r>
        <w:rPr>
          <w:rFonts w:hint="default" w:ascii="Times New Roman" w:hAnsi="Times New Roman" w:cs="Times New Roman"/>
          <w:color w:val="000000"/>
        </w:rPr>
        <w:t>前茬收获后进行深翻灭茬，耕深25cm～35cm，要求耕深一致、翻垡均匀、不落沟、不漏犁。</w:t>
      </w:r>
    </w:p>
    <w:p w14:paraId="566F4B88">
      <w:pPr>
        <w:pStyle w:val="96"/>
        <w:spacing w:before="156" w:after="156"/>
        <w:rPr>
          <w:rFonts w:hint="default" w:ascii="Times New Roman" w:hAnsi="Times New Roman" w:cs="Times New Roman"/>
        </w:rPr>
      </w:pPr>
      <w:r>
        <w:rPr>
          <w:rFonts w:hint="default" w:ascii="Times New Roman" w:hAnsi="Times New Roman" w:cs="Times New Roman"/>
        </w:rPr>
        <w:t>播前整地</w:t>
      </w:r>
    </w:p>
    <w:p w14:paraId="06B18616">
      <w:pPr>
        <w:pStyle w:val="232"/>
        <w:rPr>
          <w:rFonts w:hint="default" w:ascii="Times New Roman" w:hAnsi="Times New Roman" w:cs="Times New Roman"/>
          <w:color w:val="000000"/>
        </w:rPr>
      </w:pPr>
      <w:r>
        <w:rPr>
          <w:rFonts w:hint="default" w:ascii="Times New Roman" w:hAnsi="Times New Roman" w:cs="Times New Roman"/>
          <w:color w:val="000000"/>
        </w:rPr>
        <w:t>播前进行整地作业，采取大方耥对角耥地，边圈顺耥，使田面平整、土块细碎、上虚下实，达到“齐、平、松、碎、净、墒”标准的待播状态。</w:t>
      </w:r>
    </w:p>
    <w:p w14:paraId="6371C020">
      <w:pPr>
        <w:pStyle w:val="67"/>
        <w:spacing w:before="156" w:after="156"/>
        <w:rPr>
          <w:rFonts w:hint="default" w:ascii="Times New Roman" w:hAnsi="Times New Roman" w:cs="Times New Roman"/>
        </w:rPr>
      </w:pPr>
      <w:r>
        <w:rPr>
          <w:rFonts w:hint="default" w:ascii="Times New Roman" w:hAnsi="Times New Roman" w:cs="Times New Roman"/>
        </w:rPr>
        <w:t>机械准备</w:t>
      </w:r>
    </w:p>
    <w:p w14:paraId="1DE46611">
      <w:pPr>
        <w:pStyle w:val="232"/>
        <w:rPr>
          <w:rFonts w:hint="default" w:ascii="Times New Roman" w:hAnsi="Times New Roman" w:cs="Times New Roman"/>
          <w:color w:val="000000"/>
        </w:rPr>
      </w:pPr>
      <w:r>
        <w:rPr>
          <w:rFonts w:hint="default" w:ascii="Times New Roman" w:hAnsi="Times New Roman" w:cs="Times New Roman"/>
          <w:color w:val="000000"/>
        </w:rPr>
        <w:t>作业前，按播种密度、播种深度（见5.2.2.3和5.2.3），调整好机具，装好滴灌带、种子、化肥和除草剂，准备作业。</w:t>
      </w:r>
    </w:p>
    <w:p w14:paraId="5E2C56DE">
      <w:pPr>
        <w:pStyle w:val="107"/>
        <w:spacing w:before="156" w:after="156"/>
        <w:ind w:left="0"/>
        <w:rPr>
          <w:rFonts w:hint="default" w:ascii="Times New Roman" w:hAnsi="Times New Roman" w:cs="Times New Roman"/>
        </w:rPr>
      </w:pPr>
      <w:r>
        <w:rPr>
          <w:rFonts w:hint="default" w:ascii="Times New Roman" w:hAnsi="Times New Roman" w:cs="Times New Roman"/>
        </w:rPr>
        <w:t>播种</w:t>
      </w:r>
    </w:p>
    <w:p w14:paraId="660D616E">
      <w:pPr>
        <w:pStyle w:val="67"/>
        <w:spacing w:before="156" w:after="156"/>
        <w:rPr>
          <w:rFonts w:hint="default" w:ascii="Times New Roman" w:hAnsi="Times New Roman" w:cs="Times New Roman"/>
        </w:rPr>
      </w:pPr>
      <w:r>
        <w:rPr>
          <w:rFonts w:hint="default" w:ascii="Times New Roman" w:hAnsi="Times New Roman" w:cs="Times New Roman"/>
        </w:rPr>
        <w:t>播种时间</w:t>
      </w:r>
    </w:p>
    <w:p w14:paraId="2A5FB08C">
      <w:pPr>
        <w:pStyle w:val="232"/>
        <w:rPr>
          <w:rFonts w:hint="default" w:ascii="Times New Roman" w:hAnsi="Times New Roman" w:cs="Times New Roman"/>
          <w:color w:val="000000"/>
        </w:rPr>
      </w:pPr>
      <w:r>
        <w:rPr>
          <w:rFonts w:hint="default" w:ascii="Times New Roman" w:hAnsi="Times New Roman" w:cs="Times New Roman"/>
          <w:color w:val="000000"/>
        </w:rPr>
        <w:t>平均气温稳定在12℃以上，5cm～10cm地温稳定在10℃以上时即可播种，适宜播期为4月15日～25日，最迟播种时间不晚于5月15日。</w:t>
      </w:r>
    </w:p>
    <w:p w14:paraId="3404C0CE">
      <w:pPr>
        <w:pStyle w:val="67"/>
        <w:spacing w:before="156" w:after="156"/>
        <w:rPr>
          <w:rFonts w:hint="default" w:ascii="Times New Roman" w:hAnsi="Times New Roman" w:cs="Times New Roman"/>
        </w:rPr>
      </w:pPr>
      <w:r>
        <w:rPr>
          <w:rFonts w:hint="default" w:ascii="Times New Roman" w:hAnsi="Times New Roman" w:cs="Times New Roman"/>
        </w:rPr>
        <w:t>机械作业要求</w:t>
      </w:r>
    </w:p>
    <w:p w14:paraId="35655F6D">
      <w:pPr>
        <w:pStyle w:val="96"/>
        <w:spacing w:before="156" w:after="156"/>
        <w:rPr>
          <w:rFonts w:hint="default" w:ascii="Times New Roman" w:hAnsi="Times New Roman" w:cs="Times New Roman"/>
        </w:rPr>
      </w:pPr>
      <w:r>
        <w:rPr>
          <w:rFonts w:hint="default" w:ascii="Times New Roman" w:hAnsi="Times New Roman" w:cs="Times New Roman"/>
        </w:rPr>
        <w:t>机械要求</w:t>
      </w:r>
    </w:p>
    <w:p w14:paraId="0D0AA21B">
      <w:pPr>
        <w:pStyle w:val="232"/>
        <w:rPr>
          <w:rFonts w:hint="default" w:ascii="Times New Roman" w:hAnsi="Times New Roman" w:cs="Times New Roman"/>
          <w:color w:val="000000"/>
        </w:rPr>
      </w:pPr>
      <w:r>
        <w:rPr>
          <w:rFonts w:hint="default" w:ascii="Times New Roman" w:hAnsi="Times New Roman" w:cs="Times New Roman"/>
          <w:color w:val="000000"/>
        </w:rPr>
        <w:t>应选用多功能联合作业气吸式精量单粒点播机，实现开沟、施肥、播种、打药、铺带、覆土一次性完成。</w:t>
      </w:r>
    </w:p>
    <w:p w14:paraId="6BF9A08D">
      <w:pPr>
        <w:pStyle w:val="96"/>
        <w:spacing w:before="156" w:after="156"/>
        <w:rPr>
          <w:rFonts w:hint="default" w:ascii="Times New Roman" w:hAnsi="Times New Roman" w:cs="Times New Roman"/>
        </w:rPr>
      </w:pPr>
      <w:r>
        <w:rPr>
          <w:rFonts w:hint="default" w:ascii="Times New Roman" w:hAnsi="Times New Roman" w:cs="Times New Roman"/>
        </w:rPr>
        <w:t>作业要求</w:t>
      </w:r>
    </w:p>
    <w:p w14:paraId="62912AA5">
      <w:pPr>
        <w:pStyle w:val="232"/>
        <w:rPr>
          <w:rFonts w:hint="default" w:ascii="Times New Roman" w:hAnsi="Times New Roman" w:cs="Times New Roman"/>
          <w:color w:val="000000"/>
        </w:rPr>
      </w:pPr>
      <w:r>
        <w:rPr>
          <w:rFonts w:hint="default" w:ascii="Times New Roman" w:hAnsi="Times New Roman" w:cs="Times New Roman"/>
          <w:color w:val="000000"/>
        </w:rPr>
        <w:t>浅埋滴灌玉米滴灌带埋置深度3cm～5cm。</w:t>
      </w:r>
    </w:p>
    <w:p w14:paraId="761DEBA8">
      <w:pPr>
        <w:pStyle w:val="96"/>
        <w:spacing w:before="156" w:after="156"/>
        <w:rPr>
          <w:rFonts w:hint="default" w:ascii="Times New Roman" w:hAnsi="Times New Roman" w:cs="Times New Roman"/>
          <w:color w:val="000000"/>
        </w:rPr>
      </w:pPr>
      <w:r>
        <w:rPr>
          <w:rFonts w:hint="default" w:ascii="Times New Roman" w:hAnsi="Times New Roman" w:cs="Times New Roman"/>
        </w:rPr>
        <w:t>播种质量要求</w:t>
      </w:r>
    </w:p>
    <w:p w14:paraId="74E68590">
      <w:pPr>
        <w:pStyle w:val="232"/>
        <w:rPr>
          <w:rFonts w:hint="default" w:ascii="Times New Roman" w:hAnsi="Times New Roman" w:cs="Times New Roman"/>
          <w:color w:val="000000"/>
        </w:rPr>
      </w:pPr>
      <w:r>
        <w:rPr>
          <w:rFonts w:hint="default" w:ascii="Times New Roman" w:hAnsi="Times New Roman" w:cs="Times New Roman"/>
          <w:color w:val="000000"/>
        </w:rPr>
        <w:t>根据土质及土壤墒情确定适宜播种深度。干播湿出播种方式播种深度为3cm～5cm，灌过冬水或播种时土壤墒情较好时播种深度为5cm～7cm。</w:t>
      </w:r>
    </w:p>
    <w:p w14:paraId="4A9ED721">
      <w:pPr>
        <w:pStyle w:val="232"/>
        <w:rPr>
          <w:rFonts w:hint="default" w:ascii="Times New Roman" w:hAnsi="Times New Roman" w:cs="Times New Roman"/>
          <w:color w:val="000000"/>
        </w:rPr>
      </w:pPr>
      <w:r>
        <w:rPr>
          <w:rFonts w:hint="default" w:ascii="Times New Roman" w:hAnsi="Times New Roman" w:cs="Times New Roman"/>
          <w:color w:val="000000"/>
        </w:rPr>
        <w:t>播行顺直，行距一致，播量准确、落粒均匀、不漏播、不重播，深浅一致，覆土良好、播后镇压。灌过冬水或播种时土壤墒情较好的，将种子播至湿土层，确保种子紧贴湿土，播后随机镇压。</w:t>
      </w:r>
    </w:p>
    <w:p w14:paraId="4AAFE388">
      <w:pPr>
        <w:pStyle w:val="67"/>
        <w:spacing w:before="156" w:after="156"/>
        <w:rPr>
          <w:rFonts w:hint="default" w:ascii="Times New Roman" w:hAnsi="Times New Roman" w:cs="Times New Roman"/>
        </w:rPr>
      </w:pPr>
      <w:r>
        <w:rPr>
          <w:rFonts w:hint="default" w:ascii="Times New Roman" w:hAnsi="Times New Roman" w:cs="Times New Roman"/>
        </w:rPr>
        <w:t>种植方式</w:t>
      </w:r>
    </w:p>
    <w:p w14:paraId="58B8AA60">
      <w:pPr>
        <w:pStyle w:val="232"/>
        <w:rPr>
          <w:rFonts w:hint="default" w:ascii="Times New Roman" w:hAnsi="Times New Roman" w:cs="Times New Roman"/>
          <w:color w:val="000000"/>
        </w:rPr>
      </w:pPr>
      <w:r>
        <w:rPr>
          <w:rFonts w:hint="default" w:ascii="Times New Roman" w:hAnsi="Times New Roman" w:cs="Times New Roman"/>
          <w:color w:val="000000"/>
        </w:rPr>
        <w:t>采用宽窄行种植，宽行70cm～80cm，窄行30cm～40cm，平均行距50cm～60cm，株距18cm～20cm，密度5500株/667m</w:t>
      </w:r>
      <w:r>
        <w:rPr>
          <w:rFonts w:hint="default" w:ascii="Times New Roman" w:hAnsi="Times New Roman" w:cs="Times New Roman"/>
          <w:color w:val="000000"/>
          <w:vertAlign w:val="superscript"/>
        </w:rPr>
        <w:t>2</w:t>
      </w:r>
      <w:r>
        <w:rPr>
          <w:rFonts w:hint="default" w:ascii="Times New Roman" w:hAnsi="Times New Roman" w:cs="Times New Roman"/>
          <w:color w:val="000000"/>
        </w:rPr>
        <w:t>～6500株/667m</w:t>
      </w:r>
      <w:r>
        <w:rPr>
          <w:rFonts w:hint="default" w:ascii="Times New Roman" w:hAnsi="Times New Roman" w:cs="Times New Roman"/>
          <w:color w:val="000000"/>
          <w:vertAlign w:val="superscript"/>
        </w:rPr>
        <w:t>2</w:t>
      </w:r>
      <w:r>
        <w:rPr>
          <w:rFonts w:hint="default" w:ascii="Times New Roman" w:hAnsi="Times New Roman" w:cs="Times New Roman"/>
          <w:color w:val="000000"/>
        </w:rPr>
        <w:t>。引黄自流灌区种植密度5500株/667m</w:t>
      </w:r>
      <w:r>
        <w:rPr>
          <w:rFonts w:hint="default" w:ascii="Times New Roman" w:hAnsi="Times New Roman" w:cs="Times New Roman"/>
          <w:color w:val="000000"/>
          <w:vertAlign w:val="superscript"/>
        </w:rPr>
        <w:t>2</w:t>
      </w:r>
      <w:r>
        <w:rPr>
          <w:rFonts w:hint="default" w:ascii="Times New Roman" w:hAnsi="Times New Roman" w:cs="Times New Roman"/>
          <w:color w:val="000000"/>
        </w:rPr>
        <w:t>～6000株/667m</w:t>
      </w:r>
      <w:r>
        <w:rPr>
          <w:rFonts w:hint="default" w:ascii="Times New Roman" w:hAnsi="Times New Roman" w:cs="Times New Roman"/>
          <w:color w:val="000000"/>
          <w:vertAlign w:val="superscript"/>
        </w:rPr>
        <w:t>2</w:t>
      </w:r>
      <w:r>
        <w:rPr>
          <w:rFonts w:hint="default" w:ascii="Times New Roman" w:hAnsi="Times New Roman" w:cs="Times New Roman"/>
          <w:color w:val="000000"/>
        </w:rPr>
        <w:t>，中部扬黄灌区6000株/667m</w:t>
      </w:r>
      <w:r>
        <w:rPr>
          <w:rFonts w:hint="default" w:ascii="Times New Roman" w:hAnsi="Times New Roman" w:cs="Times New Roman"/>
          <w:color w:val="000000"/>
          <w:vertAlign w:val="superscript"/>
        </w:rPr>
        <w:t>2</w:t>
      </w:r>
      <w:r>
        <w:rPr>
          <w:rFonts w:hint="default" w:ascii="Times New Roman" w:hAnsi="Times New Roman" w:cs="Times New Roman"/>
          <w:color w:val="000000"/>
        </w:rPr>
        <w:t>～6500株/667m</w:t>
      </w:r>
      <w:r>
        <w:rPr>
          <w:rFonts w:hint="default" w:ascii="Times New Roman" w:hAnsi="Times New Roman" w:cs="Times New Roman"/>
          <w:color w:val="000000"/>
          <w:vertAlign w:val="superscript"/>
        </w:rPr>
        <w:t>2</w:t>
      </w:r>
      <w:r>
        <w:rPr>
          <w:rFonts w:hint="default" w:ascii="Times New Roman" w:hAnsi="Times New Roman" w:cs="Times New Roman"/>
          <w:color w:val="000000"/>
        </w:rPr>
        <w:t>。</w:t>
      </w:r>
    </w:p>
    <w:p w14:paraId="3F6D1A23">
      <w:pPr>
        <w:pStyle w:val="107"/>
        <w:spacing w:before="156" w:after="156"/>
        <w:ind w:left="0"/>
        <w:rPr>
          <w:rFonts w:hint="default" w:ascii="Times New Roman" w:hAnsi="Times New Roman" w:cs="Times New Roman"/>
        </w:rPr>
      </w:pPr>
      <w:r>
        <w:rPr>
          <w:rFonts w:hint="default" w:ascii="Times New Roman" w:hAnsi="Times New Roman" w:cs="Times New Roman"/>
        </w:rPr>
        <w:t>中耕</w:t>
      </w:r>
    </w:p>
    <w:p w14:paraId="579094D1">
      <w:pPr>
        <w:pStyle w:val="232"/>
        <w:rPr>
          <w:rFonts w:hint="default" w:ascii="Times New Roman" w:hAnsi="Times New Roman" w:cs="Times New Roman"/>
          <w:color w:val="000000"/>
        </w:rPr>
      </w:pPr>
      <w:r>
        <w:rPr>
          <w:rFonts w:hint="default" w:ascii="Times New Roman" w:hAnsi="Times New Roman" w:cs="Times New Roman"/>
          <w:color w:val="000000"/>
        </w:rPr>
        <w:t>在宽行内中耕3次，第一次在定苗时进行，耕深3cm～5cm；第二次中耕在第一次中耕后适时进行，耕深5cm～10cm；第三次中耕应在拔节期，耕深10cm～15cm。</w:t>
      </w:r>
    </w:p>
    <w:p w14:paraId="60AA098A">
      <w:pPr>
        <w:pStyle w:val="107"/>
        <w:spacing w:before="156" w:after="156"/>
        <w:ind w:left="0"/>
        <w:rPr>
          <w:rFonts w:hint="default" w:ascii="Times New Roman" w:hAnsi="Times New Roman" w:cs="Times New Roman"/>
        </w:rPr>
      </w:pPr>
      <w:r>
        <w:rPr>
          <w:rFonts w:hint="default" w:ascii="Times New Roman" w:hAnsi="Times New Roman" w:cs="Times New Roman"/>
        </w:rPr>
        <w:t>病虫草害防治</w:t>
      </w:r>
    </w:p>
    <w:p w14:paraId="763CD762">
      <w:pPr>
        <w:pStyle w:val="232"/>
        <w:rPr>
          <w:rFonts w:hint="default" w:ascii="Times New Roman" w:hAnsi="Times New Roman" w:cs="Times New Roman"/>
          <w:color w:val="000000"/>
        </w:rPr>
      </w:pPr>
      <w:r>
        <w:rPr>
          <w:rFonts w:hint="default" w:ascii="Times New Roman" w:hAnsi="Times New Roman" w:cs="Times New Roman"/>
          <w:color w:val="000000"/>
        </w:rPr>
        <w:t>病虫草害防治方法符合GB/T 8321.10和NY/T 1276的有关规定。</w:t>
      </w:r>
    </w:p>
    <w:p w14:paraId="171FCC28">
      <w:pPr>
        <w:pStyle w:val="107"/>
        <w:spacing w:before="156" w:after="156"/>
        <w:ind w:left="0"/>
        <w:rPr>
          <w:rFonts w:hint="default" w:ascii="Times New Roman" w:hAnsi="Times New Roman" w:cs="Times New Roman"/>
        </w:rPr>
      </w:pPr>
      <w:r>
        <w:rPr>
          <w:rFonts w:hint="default" w:ascii="Times New Roman" w:hAnsi="Times New Roman" w:cs="Times New Roman"/>
        </w:rPr>
        <w:t>收获</w:t>
      </w:r>
    </w:p>
    <w:p w14:paraId="39E7D041">
      <w:pPr>
        <w:pStyle w:val="67"/>
        <w:spacing w:before="156" w:after="156"/>
        <w:rPr>
          <w:rFonts w:hint="default" w:ascii="Times New Roman" w:hAnsi="Times New Roman" w:cs="Times New Roman"/>
        </w:rPr>
      </w:pPr>
      <w:r>
        <w:rPr>
          <w:rFonts w:hint="default" w:ascii="Times New Roman" w:hAnsi="Times New Roman" w:cs="Times New Roman"/>
        </w:rPr>
        <w:t>收获期</w:t>
      </w:r>
    </w:p>
    <w:p w14:paraId="0D2D3086">
      <w:pPr>
        <w:pStyle w:val="232"/>
        <w:rPr>
          <w:rFonts w:hint="default" w:ascii="Times New Roman" w:hAnsi="Times New Roman" w:cs="Times New Roman"/>
          <w:color w:val="000000"/>
        </w:rPr>
      </w:pPr>
      <w:r>
        <w:rPr>
          <w:rFonts w:hint="default" w:ascii="Times New Roman" w:hAnsi="Times New Roman" w:cs="Times New Roman"/>
          <w:color w:val="000000"/>
        </w:rPr>
        <w:t>应在9月下旬至10月上旬进行收获。</w:t>
      </w:r>
    </w:p>
    <w:p w14:paraId="19AB2F2B">
      <w:pPr>
        <w:pStyle w:val="67"/>
        <w:spacing w:before="156" w:after="156"/>
        <w:rPr>
          <w:rFonts w:hint="default" w:ascii="Times New Roman" w:hAnsi="Times New Roman" w:cs="Times New Roman"/>
        </w:rPr>
      </w:pPr>
      <w:r>
        <w:rPr>
          <w:rFonts w:hint="default" w:ascii="Times New Roman" w:hAnsi="Times New Roman" w:cs="Times New Roman"/>
        </w:rPr>
        <w:t>收获要求</w:t>
      </w:r>
    </w:p>
    <w:p w14:paraId="573D37B9">
      <w:pPr>
        <w:pStyle w:val="232"/>
        <w:rPr>
          <w:rFonts w:hint="default" w:ascii="Times New Roman" w:hAnsi="Times New Roman" w:cs="Times New Roman"/>
          <w:color w:val="000000"/>
        </w:rPr>
      </w:pPr>
      <w:r>
        <w:rPr>
          <w:rFonts w:hint="default" w:ascii="Times New Roman" w:hAnsi="Times New Roman" w:cs="Times New Roman"/>
          <w:color w:val="000000"/>
        </w:rPr>
        <w:t>采用适合于宽窄行种植的收获机械进行收获，收获质量符合NY/T 1355的有关规定。</w:t>
      </w:r>
    </w:p>
    <w:p w14:paraId="628F8966">
      <w:pPr>
        <w:pStyle w:val="107"/>
        <w:spacing w:before="156" w:after="156"/>
        <w:ind w:left="0"/>
        <w:rPr>
          <w:rFonts w:hint="default" w:ascii="Times New Roman" w:hAnsi="Times New Roman" w:cs="Times New Roman"/>
        </w:rPr>
      </w:pPr>
      <w:r>
        <w:rPr>
          <w:rFonts w:hint="default" w:ascii="Times New Roman" w:hAnsi="Times New Roman" w:cs="Times New Roman"/>
        </w:rPr>
        <w:t>地面管回收</w:t>
      </w:r>
    </w:p>
    <w:p w14:paraId="3796FC0D">
      <w:pPr>
        <w:pStyle w:val="67"/>
        <w:spacing w:before="156" w:after="156"/>
        <w:rPr>
          <w:rFonts w:hint="default" w:ascii="Times New Roman" w:hAnsi="Times New Roman" w:cs="Times New Roman"/>
        </w:rPr>
      </w:pPr>
      <w:r>
        <w:rPr>
          <w:rFonts w:hint="default" w:ascii="Times New Roman" w:hAnsi="Times New Roman" w:cs="Times New Roman"/>
        </w:rPr>
        <w:t>支（副）管回收</w:t>
      </w:r>
    </w:p>
    <w:p w14:paraId="36504B13">
      <w:pPr>
        <w:pStyle w:val="232"/>
        <w:rPr>
          <w:rFonts w:hint="default" w:ascii="Times New Roman" w:hAnsi="Times New Roman" w:cs="Times New Roman"/>
          <w:color w:val="000000"/>
        </w:rPr>
      </w:pPr>
      <w:r>
        <w:rPr>
          <w:rFonts w:hint="default" w:ascii="Times New Roman" w:hAnsi="Times New Roman" w:cs="Times New Roman"/>
          <w:color w:val="000000"/>
        </w:rPr>
        <w:t>在收获前进行田间地面支（副）管及配件回收并储藏，对于硬质支（副）管，实行卷盘式收纳；对于软质支（副）管，实行卷捆式收纳。</w:t>
      </w:r>
    </w:p>
    <w:p w14:paraId="415CF543">
      <w:pPr>
        <w:pStyle w:val="67"/>
        <w:spacing w:before="156" w:after="156"/>
        <w:rPr>
          <w:rFonts w:hint="default" w:ascii="Times New Roman" w:hAnsi="Times New Roman" w:cs="Times New Roman"/>
        </w:rPr>
      </w:pPr>
      <w:r>
        <w:rPr>
          <w:rFonts w:hint="default" w:ascii="Times New Roman" w:hAnsi="Times New Roman" w:cs="Times New Roman"/>
        </w:rPr>
        <w:t>滴灌带回收</w:t>
      </w:r>
    </w:p>
    <w:p w14:paraId="2639F19E">
      <w:pPr>
        <w:pStyle w:val="232"/>
        <w:rPr>
          <w:rFonts w:hint="default" w:ascii="Times New Roman" w:hAnsi="Times New Roman" w:cs="Times New Roman"/>
          <w:color w:val="000000"/>
        </w:rPr>
      </w:pPr>
      <w:r>
        <w:rPr>
          <w:rFonts w:hint="default" w:ascii="Times New Roman" w:hAnsi="Times New Roman" w:cs="Times New Roman"/>
          <w:color w:val="000000"/>
        </w:rPr>
        <w:t>在玉米收获前进行滴灌带回收再利用，滴灌带按照废旧滴灌带回收商要求进行回收。</w:t>
      </w:r>
    </w:p>
    <w:p w14:paraId="17F711EB">
      <w:pPr>
        <w:pStyle w:val="106"/>
        <w:spacing w:before="312" w:after="312"/>
        <w:rPr>
          <w:rFonts w:hint="default" w:ascii="Times New Roman" w:hAnsi="Times New Roman" w:cs="Times New Roman"/>
        </w:rPr>
      </w:pPr>
      <w:r>
        <w:rPr>
          <w:rFonts w:hint="default" w:ascii="Times New Roman" w:hAnsi="Times New Roman" w:cs="Times New Roman"/>
        </w:rPr>
        <w:t>原水处理和田间管铺设</w:t>
      </w:r>
    </w:p>
    <w:p w14:paraId="7C771DD6">
      <w:pPr>
        <w:pStyle w:val="107"/>
        <w:spacing w:before="156" w:after="156"/>
        <w:ind w:left="0"/>
        <w:rPr>
          <w:rFonts w:hint="default" w:ascii="Times New Roman" w:hAnsi="Times New Roman" w:cs="Times New Roman"/>
        </w:rPr>
      </w:pPr>
      <w:r>
        <w:rPr>
          <w:rFonts w:hint="default" w:ascii="Times New Roman" w:hAnsi="Times New Roman" w:cs="Times New Roman"/>
        </w:rPr>
        <w:t>原水处理</w:t>
      </w:r>
    </w:p>
    <w:p w14:paraId="00C0A729">
      <w:pPr>
        <w:pStyle w:val="67"/>
        <w:spacing w:before="156" w:after="156"/>
        <w:rPr>
          <w:rFonts w:hint="default" w:ascii="Times New Roman" w:hAnsi="Times New Roman" w:cs="Times New Roman"/>
        </w:rPr>
      </w:pPr>
      <w:r>
        <w:rPr>
          <w:rFonts w:hint="default" w:ascii="Times New Roman" w:hAnsi="Times New Roman" w:cs="Times New Roman"/>
        </w:rPr>
        <w:t>水处理要求</w:t>
      </w:r>
    </w:p>
    <w:p w14:paraId="79D992A7">
      <w:pPr>
        <w:pStyle w:val="232"/>
        <w:rPr>
          <w:rFonts w:hint="default" w:ascii="Times New Roman" w:hAnsi="Times New Roman" w:cs="Times New Roman"/>
          <w:color w:val="000000"/>
        </w:rPr>
      </w:pPr>
      <w:r>
        <w:rPr>
          <w:rFonts w:hint="default" w:ascii="Times New Roman" w:hAnsi="Times New Roman" w:cs="Times New Roman"/>
          <w:color w:val="000000"/>
        </w:rPr>
        <w:t>原水经过滤设备处理后满足水体浊度≤150 NTU，含沙量≤100 mg/L。</w:t>
      </w:r>
    </w:p>
    <w:p w14:paraId="2ADC0ACE">
      <w:pPr>
        <w:pStyle w:val="67"/>
        <w:spacing w:before="156" w:after="156"/>
        <w:rPr>
          <w:rFonts w:hint="default" w:ascii="Times New Roman" w:hAnsi="Times New Roman" w:cs="Times New Roman"/>
        </w:rPr>
      </w:pPr>
      <w:r>
        <w:rPr>
          <w:rFonts w:hint="default" w:ascii="Times New Roman" w:hAnsi="Times New Roman" w:cs="Times New Roman"/>
        </w:rPr>
        <w:t>水处理模式</w:t>
      </w:r>
    </w:p>
    <w:p w14:paraId="4A152F5E">
      <w:pPr>
        <w:pStyle w:val="232"/>
        <w:rPr>
          <w:rFonts w:hint="default" w:ascii="Times New Roman" w:hAnsi="Times New Roman" w:cs="Times New Roman"/>
          <w:color w:val="000000"/>
        </w:rPr>
      </w:pPr>
      <w:r>
        <w:rPr>
          <w:rFonts w:hint="default" w:ascii="Times New Roman" w:hAnsi="Times New Roman" w:cs="Times New Roman"/>
          <w:color w:val="000000"/>
        </w:rPr>
        <w:t>黄河水处理模式见图1。</w:t>
      </w:r>
    </w:p>
    <w:p w14:paraId="49586CE3">
      <w:pPr>
        <w:pStyle w:val="232"/>
        <w:ind w:firstLine="0" w:firstLineChars="0"/>
        <w:jc w:val="center"/>
        <w:rPr>
          <w:rFonts w:hint="default" w:ascii="Times New Roman" w:hAnsi="Times New Roman" w:cs="Times New Roman"/>
          <w:color w:val="000000"/>
        </w:rPr>
      </w:pPr>
      <w:r>
        <w:rPr>
          <w:rFonts w:hint="default" w:ascii="Times New Roman" w:hAnsi="Times New Roman" w:cs="Times New Roman"/>
          <w:color w:val="000000"/>
        </w:rPr>
        <w:drawing>
          <wp:inline distT="0" distB="0" distL="0" distR="0">
            <wp:extent cx="5035550" cy="323850"/>
            <wp:effectExtent l="0" t="0" r="0" b="0"/>
            <wp:docPr id="4147987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98711" name="图片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035550" cy="323850"/>
                    </a:xfrm>
                    <a:prstGeom prst="rect">
                      <a:avLst/>
                    </a:prstGeom>
                    <a:noFill/>
                  </pic:spPr>
                </pic:pic>
              </a:graphicData>
            </a:graphic>
          </wp:inline>
        </w:drawing>
      </w:r>
    </w:p>
    <w:p w14:paraId="7A9848F2">
      <w:pPr>
        <w:pStyle w:val="116"/>
        <w:spacing w:before="156" w:after="156"/>
        <w:rPr>
          <w:rFonts w:hint="default" w:ascii="Times New Roman" w:hAnsi="Times New Roman" w:cs="Times New Roman"/>
        </w:rPr>
      </w:pPr>
      <w:r>
        <w:rPr>
          <w:rFonts w:hint="default" w:ascii="Times New Roman" w:hAnsi="Times New Roman" w:cs="Times New Roman"/>
        </w:rPr>
        <w:t>黄河水处理模式</w:t>
      </w:r>
    </w:p>
    <w:p w14:paraId="527ED857">
      <w:pPr>
        <w:pStyle w:val="232"/>
        <w:rPr>
          <w:rFonts w:hint="default" w:ascii="Times New Roman" w:hAnsi="Times New Roman" w:cs="Times New Roman"/>
          <w:color w:val="000000"/>
        </w:rPr>
      </w:pPr>
      <w:r>
        <w:rPr>
          <w:rFonts w:hint="default" w:ascii="Times New Roman" w:hAnsi="Times New Roman" w:cs="Times New Roman"/>
          <w:color w:val="000000"/>
        </w:rPr>
        <w:t>地下水处理模式见图2。</w:t>
      </w:r>
    </w:p>
    <w:p w14:paraId="19F35B9D">
      <w:pPr>
        <w:pStyle w:val="232"/>
        <w:jc w:val="center"/>
        <w:rPr>
          <w:rFonts w:hint="default" w:ascii="Times New Roman" w:hAnsi="Times New Roman" w:cs="Times New Roman"/>
          <w:color w:val="000000"/>
        </w:rPr>
      </w:pPr>
      <w:r>
        <w:rPr>
          <w:rFonts w:hint="default" w:ascii="Times New Roman" w:hAnsi="Times New Roman" w:cs="Times New Roman"/>
          <w:color w:val="000000"/>
        </w:rPr>
        <w:drawing>
          <wp:inline distT="0" distB="0" distL="0" distR="0">
            <wp:extent cx="4241800" cy="330200"/>
            <wp:effectExtent l="0" t="0" r="6350" b="0"/>
            <wp:docPr id="5719278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927858" name="图片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241800" cy="330200"/>
                    </a:xfrm>
                    <a:prstGeom prst="rect">
                      <a:avLst/>
                    </a:prstGeom>
                    <a:noFill/>
                  </pic:spPr>
                </pic:pic>
              </a:graphicData>
            </a:graphic>
          </wp:inline>
        </w:drawing>
      </w:r>
    </w:p>
    <w:p w14:paraId="4F0A3681">
      <w:pPr>
        <w:pStyle w:val="116"/>
        <w:spacing w:before="156" w:after="156"/>
        <w:rPr>
          <w:rFonts w:hint="default" w:ascii="Times New Roman" w:hAnsi="Times New Roman" w:cs="Times New Roman"/>
        </w:rPr>
      </w:pPr>
      <w:r>
        <w:rPr>
          <w:rFonts w:hint="default" w:ascii="Times New Roman" w:hAnsi="Times New Roman" w:cs="Times New Roman"/>
        </w:rPr>
        <w:t>地下水处理模式</w:t>
      </w:r>
    </w:p>
    <w:p w14:paraId="1EEF9B96">
      <w:pPr>
        <w:pStyle w:val="67"/>
        <w:spacing w:before="156" w:after="156"/>
        <w:rPr>
          <w:rFonts w:hint="default" w:ascii="Times New Roman" w:hAnsi="Times New Roman" w:cs="Times New Roman"/>
        </w:rPr>
      </w:pPr>
      <w:r>
        <w:rPr>
          <w:rFonts w:hint="default" w:ascii="Times New Roman" w:hAnsi="Times New Roman" w:cs="Times New Roman"/>
        </w:rPr>
        <w:t>过滤设备</w:t>
      </w:r>
    </w:p>
    <w:p w14:paraId="693092C5">
      <w:pPr>
        <w:pStyle w:val="232"/>
        <w:rPr>
          <w:rFonts w:hint="default" w:ascii="Times New Roman" w:hAnsi="Times New Roman" w:cs="Times New Roman"/>
          <w:color w:val="000000"/>
        </w:rPr>
      </w:pPr>
      <w:r>
        <w:rPr>
          <w:rFonts w:hint="default" w:ascii="Times New Roman" w:hAnsi="Times New Roman" w:cs="Times New Roman"/>
          <w:color w:val="000000"/>
        </w:rPr>
        <w:t>黄河水过滤设备组合应采用“砂石过滤器+叠片过滤器”组合过滤，见图3。</w:t>
      </w:r>
    </w:p>
    <w:p w14:paraId="2539B86E">
      <w:pPr>
        <w:pStyle w:val="232"/>
        <w:ind w:firstLine="0" w:firstLineChars="0"/>
        <w:jc w:val="center"/>
        <w:rPr>
          <w:rFonts w:hint="default" w:ascii="Times New Roman" w:hAnsi="Times New Roman" w:cs="Times New Roman"/>
          <w:color w:val="000000"/>
        </w:rPr>
      </w:pPr>
      <w:r>
        <w:rPr>
          <w:rFonts w:hint="default" w:ascii="Times New Roman" w:hAnsi="Times New Roman" w:cs="Times New Roman"/>
          <w:color w:val="000000"/>
        </w:rPr>
        <w:drawing>
          <wp:inline distT="0" distB="0" distL="0" distR="0">
            <wp:extent cx="5181600" cy="755650"/>
            <wp:effectExtent l="0" t="0" r="0" b="6350"/>
            <wp:docPr id="2870462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46298" name="图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181600" cy="755650"/>
                    </a:xfrm>
                    <a:prstGeom prst="rect">
                      <a:avLst/>
                    </a:prstGeom>
                    <a:noFill/>
                  </pic:spPr>
                </pic:pic>
              </a:graphicData>
            </a:graphic>
          </wp:inline>
        </w:drawing>
      </w:r>
    </w:p>
    <w:p w14:paraId="0A70AC7B">
      <w:pPr>
        <w:pStyle w:val="116"/>
        <w:spacing w:before="156" w:after="156"/>
        <w:rPr>
          <w:rFonts w:hint="default" w:ascii="Times New Roman" w:hAnsi="Times New Roman" w:cs="Times New Roman"/>
        </w:rPr>
      </w:pPr>
      <w:r>
        <w:rPr>
          <w:rFonts w:hint="default" w:ascii="Times New Roman" w:hAnsi="Times New Roman" w:cs="Times New Roman"/>
        </w:rPr>
        <w:t>黄河水过滤设备组合</w:t>
      </w:r>
    </w:p>
    <w:p w14:paraId="40901687">
      <w:pPr>
        <w:pStyle w:val="232"/>
        <w:rPr>
          <w:rFonts w:hint="default" w:ascii="Times New Roman" w:hAnsi="Times New Roman" w:cs="Times New Roman"/>
          <w:color w:val="000000"/>
        </w:rPr>
      </w:pPr>
      <w:r>
        <w:rPr>
          <w:rFonts w:hint="default" w:ascii="Times New Roman" w:hAnsi="Times New Roman" w:cs="Times New Roman"/>
          <w:color w:val="000000"/>
        </w:rPr>
        <w:t>地下水过滤设备组合应采用“离心过滤器+筛网过滤器”组合过滤，见图4。</w:t>
      </w:r>
      <w:bookmarkEnd w:id="79"/>
      <w:bookmarkEnd w:id="80"/>
      <w:bookmarkEnd w:id="81"/>
      <w:bookmarkEnd w:id="82"/>
      <w:bookmarkStart w:id="83" w:name="_Toc176446573"/>
      <w:bookmarkStart w:id="84" w:name="_Toc12922"/>
      <w:bookmarkStart w:id="85" w:name="_Toc19397"/>
      <w:bookmarkStart w:id="86" w:name="_Toc1441"/>
    </w:p>
    <w:p w14:paraId="6B2B93BC">
      <w:pPr>
        <w:pStyle w:val="232"/>
        <w:ind w:firstLine="0" w:firstLineChars="0"/>
        <w:jc w:val="center"/>
        <w:rPr>
          <w:rFonts w:hint="default" w:ascii="Times New Roman" w:hAnsi="Times New Roman" w:cs="Times New Roman"/>
          <w:color w:val="000000"/>
        </w:rPr>
      </w:pPr>
      <w:r>
        <w:rPr>
          <w:rFonts w:hint="default" w:ascii="Times New Roman" w:hAnsi="Times New Roman" w:cs="Times New Roman"/>
          <w:color w:val="000000"/>
        </w:rPr>
        <w:drawing>
          <wp:inline distT="0" distB="0" distL="0" distR="0">
            <wp:extent cx="4737100" cy="762000"/>
            <wp:effectExtent l="0" t="0" r="6350" b="0"/>
            <wp:docPr id="21456891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89123"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737100" cy="762000"/>
                    </a:xfrm>
                    <a:prstGeom prst="rect">
                      <a:avLst/>
                    </a:prstGeom>
                    <a:noFill/>
                  </pic:spPr>
                </pic:pic>
              </a:graphicData>
            </a:graphic>
          </wp:inline>
        </w:drawing>
      </w:r>
    </w:p>
    <w:p w14:paraId="1BDD56FC">
      <w:pPr>
        <w:pStyle w:val="116"/>
        <w:spacing w:before="156" w:after="156"/>
        <w:rPr>
          <w:rFonts w:hint="default" w:ascii="Times New Roman" w:hAnsi="Times New Roman" w:cs="Times New Roman"/>
        </w:rPr>
      </w:pPr>
      <w:r>
        <w:rPr>
          <w:rFonts w:hint="default" w:ascii="Times New Roman" w:hAnsi="Times New Roman" w:cs="Times New Roman"/>
        </w:rPr>
        <w:t>地下水过滤设备组合</w:t>
      </w:r>
    </w:p>
    <w:p w14:paraId="297B9FB2">
      <w:pPr>
        <w:pStyle w:val="107"/>
        <w:spacing w:before="156" w:after="156"/>
        <w:ind w:left="0"/>
        <w:rPr>
          <w:rFonts w:hint="default" w:ascii="Times New Roman" w:hAnsi="Times New Roman" w:cs="Times New Roman"/>
        </w:rPr>
      </w:pPr>
      <w:r>
        <w:rPr>
          <w:rFonts w:hint="default" w:ascii="Times New Roman" w:hAnsi="Times New Roman" w:cs="Times New Roman"/>
        </w:rPr>
        <w:t>田间管铺设</w:t>
      </w:r>
    </w:p>
    <w:p w14:paraId="06AA311E">
      <w:pPr>
        <w:pStyle w:val="67"/>
        <w:spacing w:before="156" w:after="156"/>
        <w:rPr>
          <w:rFonts w:hint="default" w:ascii="Times New Roman" w:hAnsi="Times New Roman" w:cs="Times New Roman"/>
        </w:rPr>
      </w:pPr>
      <w:r>
        <w:rPr>
          <w:rFonts w:hint="default" w:ascii="Times New Roman" w:hAnsi="Times New Roman" w:cs="Times New Roman"/>
        </w:rPr>
        <w:t>支（副）管</w:t>
      </w:r>
    </w:p>
    <w:p w14:paraId="4A2B05A1">
      <w:pPr>
        <w:pStyle w:val="96"/>
        <w:spacing w:before="156" w:after="156"/>
        <w:rPr>
          <w:rFonts w:hint="default" w:ascii="Times New Roman" w:hAnsi="Times New Roman" w:cs="Times New Roman"/>
          <w:color w:val="000000"/>
        </w:rPr>
      </w:pPr>
      <w:r>
        <w:rPr>
          <w:rFonts w:hint="default" w:ascii="Times New Roman" w:hAnsi="Times New Roman" w:cs="Times New Roman"/>
        </w:rPr>
        <w:t>技术参数</w:t>
      </w:r>
    </w:p>
    <w:p w14:paraId="6F83DCBF">
      <w:pPr>
        <w:pStyle w:val="232"/>
        <w:rPr>
          <w:rFonts w:hint="default" w:ascii="Times New Roman" w:hAnsi="Times New Roman" w:cs="Times New Roman"/>
          <w:color w:val="000000"/>
        </w:rPr>
      </w:pPr>
      <w:r>
        <w:rPr>
          <w:rFonts w:hint="default" w:ascii="Times New Roman" w:hAnsi="Times New Roman" w:cs="Times New Roman"/>
          <w:color w:val="000000"/>
        </w:rPr>
        <w:t>公称外径63mm或75mm，外径偏差±1mm～2mm，壁厚0.9mm～1.5mm，爆破压力≥0.40MPa。</w:t>
      </w:r>
    </w:p>
    <w:p w14:paraId="30B87915">
      <w:pPr>
        <w:pStyle w:val="96"/>
        <w:spacing w:before="156" w:after="156"/>
        <w:rPr>
          <w:rFonts w:hint="default" w:ascii="Times New Roman" w:hAnsi="Times New Roman" w:cs="Times New Roman"/>
        </w:rPr>
      </w:pPr>
      <w:r>
        <w:rPr>
          <w:rFonts w:hint="default" w:ascii="Times New Roman" w:hAnsi="Times New Roman" w:cs="Times New Roman"/>
        </w:rPr>
        <w:t>安装要求</w:t>
      </w:r>
    </w:p>
    <w:p w14:paraId="3009F179">
      <w:pPr>
        <w:pStyle w:val="232"/>
        <w:rPr>
          <w:rFonts w:hint="default" w:ascii="Times New Roman" w:hAnsi="Times New Roman" w:cs="Times New Roman"/>
          <w:color w:val="000000"/>
        </w:rPr>
      </w:pPr>
      <w:r>
        <w:rPr>
          <w:rFonts w:hint="default" w:ascii="Times New Roman" w:hAnsi="Times New Roman" w:cs="Times New Roman"/>
          <w:color w:val="000000"/>
        </w:rPr>
        <w:t>在田间固定支管后连接移动支管（副管）、控制阀等配件，滴灌带安装在移动支管（副管）上。</w:t>
      </w:r>
    </w:p>
    <w:p w14:paraId="08817671">
      <w:pPr>
        <w:pStyle w:val="67"/>
        <w:spacing w:before="156" w:after="156"/>
        <w:rPr>
          <w:rFonts w:hint="default" w:ascii="Times New Roman" w:hAnsi="Times New Roman" w:cs="Times New Roman"/>
        </w:rPr>
      </w:pPr>
      <w:r>
        <w:rPr>
          <w:rFonts w:hint="default" w:ascii="Times New Roman" w:hAnsi="Times New Roman" w:cs="Times New Roman"/>
        </w:rPr>
        <w:t>滴灌带</w:t>
      </w:r>
    </w:p>
    <w:p w14:paraId="69A98B77">
      <w:pPr>
        <w:pStyle w:val="96"/>
        <w:spacing w:before="156" w:after="156"/>
        <w:rPr>
          <w:rFonts w:hint="default" w:ascii="Times New Roman" w:hAnsi="Times New Roman" w:cs="Times New Roman"/>
        </w:rPr>
      </w:pPr>
      <w:r>
        <w:rPr>
          <w:rFonts w:hint="default" w:ascii="Times New Roman" w:hAnsi="Times New Roman" w:cs="Times New Roman"/>
        </w:rPr>
        <w:t>滴灌带选择</w:t>
      </w:r>
    </w:p>
    <w:p w14:paraId="285839D6">
      <w:pPr>
        <w:pStyle w:val="232"/>
        <w:rPr>
          <w:rFonts w:hint="default" w:ascii="Times New Roman" w:hAnsi="Times New Roman" w:cs="Times New Roman"/>
          <w:color w:val="000000"/>
        </w:rPr>
      </w:pPr>
      <w:r>
        <w:rPr>
          <w:rFonts w:hint="default" w:ascii="Times New Roman" w:hAnsi="Times New Roman" w:cs="Times New Roman"/>
          <w:color w:val="000000"/>
        </w:rPr>
        <w:t>选用一次性内镶贴片式滴灌带。</w:t>
      </w:r>
    </w:p>
    <w:p w14:paraId="5BAF85E8">
      <w:pPr>
        <w:pStyle w:val="96"/>
        <w:spacing w:before="156" w:after="156"/>
        <w:rPr>
          <w:rFonts w:hint="default" w:ascii="Times New Roman" w:hAnsi="Times New Roman" w:cs="Times New Roman"/>
        </w:rPr>
      </w:pPr>
      <w:r>
        <w:rPr>
          <w:rFonts w:hint="default" w:ascii="Times New Roman" w:hAnsi="Times New Roman" w:cs="Times New Roman"/>
        </w:rPr>
        <w:t>技术参数</w:t>
      </w:r>
    </w:p>
    <w:p w14:paraId="77B0F3D6">
      <w:pPr>
        <w:pStyle w:val="232"/>
        <w:rPr>
          <w:rFonts w:hint="default" w:ascii="Times New Roman" w:hAnsi="Times New Roman" w:cs="Times New Roman"/>
          <w:color w:val="000000"/>
        </w:rPr>
      </w:pPr>
      <w:r>
        <w:rPr>
          <w:rFonts w:hint="default" w:ascii="Times New Roman" w:hAnsi="Times New Roman" w:cs="Times New Roman"/>
          <w:color w:val="000000"/>
        </w:rPr>
        <w:t>内径16mm；额定工作压力0.1MPa；壁厚0.15mm～0.2mm；滴头流量0.75L/h～2.0L/h，砂质土选择流量1.5L/h～2.0L/h；壤质土选择流量0.75L/h～1.5 L/h的滴灌带；滴头间距20cm～30cm。</w:t>
      </w:r>
    </w:p>
    <w:p w14:paraId="5A8761C9">
      <w:pPr>
        <w:pStyle w:val="96"/>
        <w:spacing w:before="156" w:after="156"/>
        <w:rPr>
          <w:rFonts w:hint="default" w:ascii="Times New Roman" w:hAnsi="Times New Roman" w:cs="Times New Roman"/>
        </w:rPr>
      </w:pPr>
      <w:r>
        <w:rPr>
          <w:rFonts w:hint="default" w:ascii="Times New Roman" w:hAnsi="Times New Roman" w:cs="Times New Roman"/>
        </w:rPr>
        <w:t>铺设方式</w:t>
      </w:r>
    </w:p>
    <w:p w14:paraId="16BF3E67">
      <w:pPr>
        <w:pStyle w:val="232"/>
        <w:rPr>
          <w:rFonts w:hint="default" w:ascii="Times New Roman" w:hAnsi="Times New Roman" w:cs="Times New Roman"/>
          <w:color w:val="000000"/>
        </w:rPr>
      </w:pPr>
      <w:r>
        <w:rPr>
          <w:rFonts w:hint="default" w:ascii="Times New Roman" w:hAnsi="Times New Roman" w:cs="Times New Roman"/>
          <w:color w:val="000000"/>
        </w:rPr>
        <w:t>一条滴灌带灌溉两行玉米，滴灌带铺设于窄行正中，滴灌带铺设长度为60 m～120 m，逆坡取60 m～90 m，顺坡取90 m～120 m，</w:t>
      </w:r>
    </w:p>
    <w:p w14:paraId="41C9BBDA">
      <w:pPr>
        <w:pStyle w:val="96"/>
        <w:spacing w:before="156" w:after="156"/>
        <w:rPr>
          <w:rFonts w:hint="default" w:ascii="Times New Roman" w:hAnsi="Times New Roman" w:cs="Times New Roman"/>
        </w:rPr>
      </w:pPr>
      <w:r>
        <w:rPr>
          <w:rFonts w:hint="default" w:ascii="Times New Roman" w:hAnsi="Times New Roman" w:cs="Times New Roman"/>
        </w:rPr>
        <w:t>安装要求</w:t>
      </w:r>
    </w:p>
    <w:p w14:paraId="73386A24">
      <w:pPr>
        <w:pStyle w:val="232"/>
        <w:rPr>
          <w:rFonts w:hint="default" w:ascii="Times New Roman" w:hAnsi="Times New Roman" w:cs="Times New Roman"/>
          <w:color w:val="000000"/>
        </w:rPr>
      </w:pPr>
      <w:r>
        <w:rPr>
          <w:rFonts w:hint="default" w:ascii="Times New Roman" w:hAnsi="Times New Roman" w:cs="Times New Roman"/>
          <w:color w:val="000000"/>
        </w:rPr>
        <w:t>滴灌管铺设时要自然松弛，避免紧拉，接头处必须连接牢固。</w:t>
      </w:r>
    </w:p>
    <w:p w14:paraId="564CE003">
      <w:pPr>
        <w:pStyle w:val="106"/>
        <w:spacing w:before="312" w:after="312"/>
        <w:rPr>
          <w:rFonts w:hint="default" w:ascii="Times New Roman" w:hAnsi="Times New Roman" w:cs="Times New Roman"/>
        </w:rPr>
      </w:pPr>
      <w:r>
        <w:rPr>
          <w:rFonts w:hint="default" w:ascii="Times New Roman" w:hAnsi="Times New Roman" w:cs="Times New Roman"/>
        </w:rPr>
        <w:t>灌溉和施肥</w:t>
      </w:r>
    </w:p>
    <w:p w14:paraId="5E3AB385">
      <w:pPr>
        <w:pStyle w:val="107"/>
        <w:spacing w:before="156" w:after="156"/>
        <w:ind w:left="0"/>
        <w:rPr>
          <w:rFonts w:hint="default" w:ascii="Times New Roman" w:hAnsi="Times New Roman" w:cs="Times New Roman"/>
        </w:rPr>
      </w:pPr>
      <w:r>
        <w:rPr>
          <w:rFonts w:hint="default" w:ascii="Times New Roman" w:hAnsi="Times New Roman" w:cs="Times New Roman"/>
        </w:rPr>
        <w:t>水肥管理制度</w:t>
      </w:r>
    </w:p>
    <w:p w14:paraId="791F9849">
      <w:pPr>
        <w:pStyle w:val="232"/>
        <w:rPr>
          <w:rFonts w:hint="default" w:ascii="Times New Roman" w:hAnsi="Times New Roman" w:cs="Times New Roman"/>
          <w:color w:val="000000"/>
        </w:rPr>
      </w:pPr>
      <w:r>
        <w:rPr>
          <w:rFonts w:hint="default" w:ascii="Times New Roman" w:hAnsi="Times New Roman" w:cs="Times New Roman"/>
          <w:color w:val="000000"/>
        </w:rPr>
        <w:t>玉米生育期划分为播种期、苗期、拔节期、抽穗吐丝—灌浆期、成熟期等不同生育阶段，在平水年（P=50%）条件下，宁夏引黄灌区滴灌玉米水肥管理制度见表1。</w:t>
      </w:r>
    </w:p>
    <w:p w14:paraId="25D98432">
      <w:pPr>
        <w:pStyle w:val="107"/>
        <w:spacing w:before="156" w:after="156"/>
        <w:ind w:left="0"/>
        <w:rPr>
          <w:rFonts w:hint="default" w:ascii="Times New Roman" w:hAnsi="Times New Roman" w:cs="Times New Roman"/>
        </w:rPr>
      </w:pPr>
      <w:r>
        <w:rPr>
          <w:rFonts w:hint="default" w:ascii="Times New Roman" w:hAnsi="Times New Roman" w:cs="Times New Roman"/>
        </w:rPr>
        <w:t>灌水原则</w:t>
      </w:r>
    </w:p>
    <w:p w14:paraId="24B1341A">
      <w:pPr>
        <w:pStyle w:val="232"/>
        <w:rPr>
          <w:rFonts w:hint="default" w:ascii="Times New Roman" w:hAnsi="Times New Roman" w:cs="Times New Roman"/>
          <w:color w:val="000000"/>
        </w:rPr>
      </w:pPr>
      <w:r>
        <w:rPr>
          <w:rFonts w:hint="default" w:ascii="Times New Roman" w:hAnsi="Times New Roman" w:cs="Times New Roman"/>
          <w:color w:val="000000"/>
        </w:rPr>
        <w:t>灌水时间和次数根据玉米生长发育、土壤墒情、生育期内降雨量可适当调整，枯水年宜增加灌水次数，丰水年宜减少灌水次数。</w:t>
      </w:r>
    </w:p>
    <w:p w14:paraId="3D289D4A">
      <w:pPr>
        <w:pStyle w:val="107"/>
        <w:spacing w:before="156" w:after="156"/>
        <w:ind w:left="0"/>
        <w:rPr>
          <w:rFonts w:hint="default" w:ascii="Times New Roman" w:hAnsi="Times New Roman" w:cs="Times New Roman"/>
        </w:rPr>
      </w:pPr>
      <w:r>
        <w:rPr>
          <w:rFonts w:hint="default" w:ascii="Times New Roman" w:hAnsi="Times New Roman" w:cs="Times New Roman"/>
        </w:rPr>
        <w:t>施肥原则</w:t>
      </w:r>
    </w:p>
    <w:p w14:paraId="5A270389">
      <w:pPr>
        <w:pStyle w:val="232"/>
        <w:rPr>
          <w:rFonts w:hint="default" w:ascii="Times New Roman" w:hAnsi="Times New Roman" w:cs="Times New Roman"/>
          <w:color w:val="000000"/>
        </w:rPr>
      </w:pPr>
      <w:r>
        <w:rPr>
          <w:rFonts w:hint="default" w:ascii="Times New Roman" w:hAnsi="Times New Roman" w:cs="Times New Roman"/>
          <w:color w:val="000000"/>
        </w:rPr>
        <w:t>依据NY/T 1634规定，做到有机肥和无机肥并重，氮、磷、钾及中微量元素肥料合理配合，施肥技术与栽培技术相结合。</w:t>
      </w:r>
    </w:p>
    <w:p w14:paraId="25BF8EF0">
      <w:pPr>
        <w:pStyle w:val="107"/>
        <w:spacing w:before="156" w:after="156"/>
        <w:ind w:left="0"/>
        <w:rPr>
          <w:rFonts w:hint="default" w:ascii="Times New Roman" w:hAnsi="Times New Roman" w:cs="Times New Roman"/>
        </w:rPr>
      </w:pPr>
      <w:r>
        <w:rPr>
          <w:rFonts w:hint="default" w:ascii="Times New Roman" w:hAnsi="Times New Roman" w:cs="Times New Roman"/>
        </w:rPr>
        <w:t>施肥设备选型</w:t>
      </w:r>
    </w:p>
    <w:p w14:paraId="4F197CF6">
      <w:pPr>
        <w:pStyle w:val="232"/>
        <w:rPr>
          <w:rFonts w:hint="default" w:ascii="Times New Roman" w:hAnsi="Times New Roman" w:cs="Times New Roman"/>
          <w:color w:val="000000"/>
        </w:rPr>
      </w:pPr>
      <w:r>
        <w:rPr>
          <w:rFonts w:hint="default" w:ascii="Times New Roman" w:hAnsi="Times New Roman" w:cs="Times New Roman"/>
          <w:color w:val="000000"/>
        </w:rPr>
        <w:t>推荐采用注肥泵进行施肥，也可选用压差式施肥罐法或泵吸法。</w:t>
      </w:r>
    </w:p>
    <w:p w14:paraId="7A3C560A">
      <w:pPr>
        <w:pStyle w:val="232"/>
        <w:ind w:firstLine="0" w:firstLineChars="0"/>
        <w:rPr>
          <w:rFonts w:hint="default" w:ascii="Times New Roman" w:hAnsi="Times New Roman" w:cs="Times New Roman"/>
          <w:color w:val="000000"/>
        </w:rPr>
      </w:pPr>
    </w:p>
    <w:p w14:paraId="55042774">
      <w:pPr>
        <w:widowControl/>
        <w:adjustRightInd/>
        <w:spacing w:line="240" w:lineRule="auto"/>
        <w:jc w:val="left"/>
        <w:rPr>
          <w:rFonts w:hint="default" w:ascii="Times New Roman" w:hAnsi="Times New Roman" w:cs="Times New Roman"/>
          <w:color w:val="000000"/>
          <w:kern w:val="0"/>
        </w:rPr>
        <w:sectPr>
          <w:headerReference r:id="rId15" w:type="default"/>
          <w:footerReference r:id="rId17" w:type="default"/>
          <w:headerReference r:id="rId16" w:type="even"/>
          <w:footerReference r:id="rId18" w:type="even"/>
          <w:pgSz w:w="11906" w:h="16838"/>
          <w:pgMar w:top="1928" w:right="1134" w:bottom="1134" w:left="1134" w:header="1418" w:footer="1134" w:gutter="284"/>
          <w:pgNumType w:start="1"/>
          <w:cols w:space="425" w:num="1"/>
          <w:formProt w:val="0"/>
          <w:docGrid w:type="lines" w:linePitch="312" w:charSpace="0"/>
        </w:sectPr>
      </w:pPr>
    </w:p>
    <w:p w14:paraId="2C1016D4">
      <w:pPr>
        <w:pStyle w:val="114"/>
        <w:spacing w:before="156" w:after="156"/>
        <w:rPr>
          <w:rFonts w:hint="default" w:ascii="Times New Roman" w:hAnsi="Times New Roman" w:cs="Times New Roman"/>
        </w:rPr>
      </w:pPr>
      <w:r>
        <w:rPr>
          <w:rFonts w:hint="default" w:ascii="Times New Roman" w:hAnsi="Times New Roman" w:cs="Times New Roman"/>
        </w:rPr>
        <w:t>宁夏引黄灌区滴灌玉米灌溉与施肥制度（平水年，P=50%）</w:t>
      </w:r>
    </w:p>
    <w:tbl>
      <w:tblPr>
        <w:tblStyle w:val="28"/>
        <w:tblW w:w="4747" w:type="pct"/>
        <w:jc w:val="center"/>
        <w:tblLayout w:type="autofit"/>
        <w:tblCellMar>
          <w:top w:w="0" w:type="dxa"/>
          <w:left w:w="108" w:type="dxa"/>
          <w:bottom w:w="0" w:type="dxa"/>
          <w:right w:w="108" w:type="dxa"/>
        </w:tblCellMar>
      </w:tblPr>
      <w:tblGrid>
        <w:gridCol w:w="1015"/>
        <w:gridCol w:w="1180"/>
        <w:gridCol w:w="1334"/>
        <w:gridCol w:w="1073"/>
        <w:gridCol w:w="1342"/>
        <w:gridCol w:w="802"/>
        <w:gridCol w:w="648"/>
        <w:gridCol w:w="781"/>
        <w:gridCol w:w="712"/>
        <w:gridCol w:w="882"/>
        <w:gridCol w:w="701"/>
        <w:gridCol w:w="712"/>
        <w:gridCol w:w="813"/>
        <w:gridCol w:w="1289"/>
      </w:tblGrid>
      <w:tr w14:paraId="44BBC777">
        <w:tblPrEx>
          <w:tblCellMar>
            <w:top w:w="0" w:type="dxa"/>
            <w:left w:w="108" w:type="dxa"/>
            <w:bottom w:w="0" w:type="dxa"/>
            <w:right w:w="108" w:type="dxa"/>
          </w:tblCellMar>
        </w:tblPrEx>
        <w:trPr>
          <w:trHeight w:val="798" w:hRule="atLeast"/>
          <w:jc w:val="center"/>
        </w:trPr>
        <w:tc>
          <w:tcPr>
            <w:tcW w:w="382" w:type="pct"/>
            <w:vMerge w:val="restart"/>
            <w:tcBorders>
              <w:top w:val="single" w:color="000000" w:sz="4" w:space="0"/>
              <w:left w:val="single" w:color="000000" w:sz="4" w:space="0"/>
              <w:bottom w:val="single" w:color="000000" w:sz="4" w:space="0"/>
              <w:right w:val="single" w:color="000000" w:sz="4" w:space="0"/>
            </w:tcBorders>
            <w:vAlign w:val="center"/>
          </w:tcPr>
          <w:p w14:paraId="004890DF">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生育期</w:t>
            </w:r>
          </w:p>
        </w:tc>
        <w:tc>
          <w:tcPr>
            <w:tcW w:w="444" w:type="pct"/>
            <w:vMerge w:val="restart"/>
            <w:tcBorders>
              <w:top w:val="single" w:color="000000" w:sz="4" w:space="0"/>
              <w:left w:val="nil"/>
              <w:bottom w:val="single" w:color="000000" w:sz="4" w:space="0"/>
              <w:right w:val="single" w:color="000000" w:sz="4" w:space="0"/>
            </w:tcBorders>
            <w:vAlign w:val="center"/>
          </w:tcPr>
          <w:p w14:paraId="7AEA63E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时间</w:t>
            </w:r>
          </w:p>
        </w:tc>
        <w:tc>
          <w:tcPr>
            <w:tcW w:w="502" w:type="pct"/>
            <w:vMerge w:val="restart"/>
            <w:tcBorders>
              <w:top w:val="single" w:color="000000" w:sz="4" w:space="0"/>
              <w:left w:val="nil"/>
              <w:bottom w:val="single" w:color="000000" w:sz="4" w:space="0"/>
              <w:right w:val="single" w:color="000000" w:sz="4" w:space="0"/>
            </w:tcBorders>
            <w:vAlign w:val="center"/>
          </w:tcPr>
          <w:p w14:paraId="0D08355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灌水定额</w:t>
            </w:r>
            <w:r>
              <w:rPr>
                <w:rFonts w:hint="default" w:ascii="Times New Roman" w:hAnsi="Times New Roman" w:cs="Times New Roman"/>
                <w:color w:val="000000"/>
                <w:kern w:val="0"/>
                <w:sz w:val="18"/>
                <w:szCs w:val="18"/>
              </w:rPr>
              <w:br w:type="textWrapping"/>
            </w:r>
            <w:r>
              <w:rPr>
                <w:rFonts w:hint="default" w:ascii="Times New Roman" w:hAnsi="Times New Roman" w:cs="Times New Roman"/>
                <w:color w:val="000000"/>
                <w:kern w:val="0"/>
                <w:sz w:val="18"/>
                <w:szCs w:val="18"/>
              </w:rPr>
              <w:t>（m</w:t>
            </w:r>
            <w:r>
              <w:rPr>
                <w:rFonts w:hint="default" w:ascii="Times New Roman" w:hAnsi="Times New Roman" w:cs="Times New Roman"/>
                <w:color w:val="000000"/>
                <w:kern w:val="0"/>
                <w:sz w:val="18"/>
                <w:szCs w:val="18"/>
                <w:vertAlign w:val="superscript"/>
              </w:rPr>
              <w:t>3</w:t>
            </w:r>
            <w:r>
              <w:rPr>
                <w:rFonts w:hint="default" w:ascii="Times New Roman" w:hAnsi="Times New Roman" w:cs="Times New Roman"/>
                <w:color w:val="000000"/>
                <w:kern w:val="0"/>
                <w:sz w:val="18"/>
                <w:szCs w:val="18"/>
              </w:rPr>
              <w:t>/667 m</w:t>
            </w:r>
            <w:r>
              <w:rPr>
                <w:rFonts w:hint="default" w:ascii="Times New Roman" w:hAnsi="Times New Roman" w:cs="Times New Roman"/>
                <w:color w:val="000000"/>
                <w:kern w:val="0"/>
                <w:sz w:val="18"/>
                <w:szCs w:val="18"/>
                <w:vertAlign w:val="superscript"/>
              </w:rPr>
              <w:t>2</w:t>
            </w:r>
            <w:r>
              <w:rPr>
                <w:rFonts w:hint="default" w:ascii="Times New Roman" w:hAnsi="Times New Roman" w:cs="Times New Roman"/>
                <w:color w:val="000000"/>
                <w:kern w:val="0"/>
                <w:sz w:val="18"/>
                <w:szCs w:val="18"/>
              </w:rPr>
              <w:t>）</w:t>
            </w:r>
          </w:p>
        </w:tc>
        <w:tc>
          <w:tcPr>
            <w:tcW w:w="404" w:type="pct"/>
            <w:vMerge w:val="restart"/>
            <w:tcBorders>
              <w:top w:val="single" w:color="000000" w:sz="4" w:space="0"/>
              <w:left w:val="nil"/>
              <w:bottom w:val="single" w:color="000000" w:sz="4" w:space="0"/>
              <w:right w:val="single" w:color="000000" w:sz="4" w:space="0"/>
            </w:tcBorders>
            <w:noWrap/>
            <w:vAlign w:val="center"/>
          </w:tcPr>
          <w:p w14:paraId="0EF251E6">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灌水次数</w:t>
            </w:r>
          </w:p>
        </w:tc>
        <w:tc>
          <w:tcPr>
            <w:tcW w:w="505" w:type="pct"/>
            <w:vMerge w:val="restart"/>
            <w:tcBorders>
              <w:top w:val="single" w:color="000000" w:sz="4" w:space="0"/>
              <w:left w:val="nil"/>
              <w:bottom w:val="single" w:color="000000" w:sz="4" w:space="0"/>
              <w:right w:val="single" w:color="000000" w:sz="4" w:space="0"/>
            </w:tcBorders>
            <w:vAlign w:val="center"/>
          </w:tcPr>
          <w:p w14:paraId="013CA67F">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灌水量</w:t>
            </w:r>
            <w:r>
              <w:rPr>
                <w:rFonts w:hint="default" w:ascii="Times New Roman" w:hAnsi="Times New Roman" w:cs="Times New Roman"/>
                <w:color w:val="000000"/>
                <w:kern w:val="0"/>
                <w:sz w:val="18"/>
                <w:szCs w:val="18"/>
              </w:rPr>
              <w:br w:type="textWrapping"/>
            </w:r>
            <w:r>
              <w:rPr>
                <w:rFonts w:hint="default" w:ascii="Times New Roman" w:hAnsi="Times New Roman" w:cs="Times New Roman"/>
                <w:color w:val="000000"/>
                <w:kern w:val="0"/>
                <w:sz w:val="18"/>
                <w:szCs w:val="18"/>
              </w:rPr>
              <w:t>（m</w:t>
            </w:r>
            <w:r>
              <w:rPr>
                <w:rFonts w:hint="default" w:ascii="Times New Roman" w:hAnsi="Times New Roman" w:cs="Times New Roman"/>
                <w:color w:val="000000"/>
                <w:kern w:val="0"/>
                <w:sz w:val="18"/>
                <w:szCs w:val="18"/>
                <w:vertAlign w:val="superscript"/>
              </w:rPr>
              <w:t>3</w:t>
            </w:r>
            <w:r>
              <w:rPr>
                <w:rFonts w:hint="default" w:ascii="Times New Roman" w:hAnsi="Times New Roman" w:cs="Times New Roman"/>
                <w:color w:val="000000"/>
                <w:kern w:val="0"/>
                <w:sz w:val="18"/>
                <w:szCs w:val="18"/>
              </w:rPr>
              <w:t>/667 m</w:t>
            </w:r>
            <w:r>
              <w:rPr>
                <w:rFonts w:hint="default" w:ascii="Times New Roman" w:hAnsi="Times New Roman" w:cs="Times New Roman"/>
                <w:color w:val="000000"/>
                <w:kern w:val="0"/>
                <w:sz w:val="18"/>
                <w:szCs w:val="18"/>
                <w:vertAlign w:val="superscript"/>
              </w:rPr>
              <w:t>2</w:t>
            </w:r>
            <w:r>
              <w:rPr>
                <w:rFonts w:hint="default" w:ascii="Times New Roman" w:hAnsi="Times New Roman" w:cs="Times New Roman"/>
                <w:color w:val="000000"/>
                <w:kern w:val="0"/>
                <w:sz w:val="18"/>
                <w:szCs w:val="18"/>
              </w:rPr>
              <w:t>）</w:t>
            </w:r>
          </w:p>
        </w:tc>
        <w:tc>
          <w:tcPr>
            <w:tcW w:w="302" w:type="pct"/>
            <w:vMerge w:val="restart"/>
            <w:tcBorders>
              <w:top w:val="single" w:color="000000" w:sz="4" w:space="0"/>
              <w:left w:val="nil"/>
              <w:bottom w:val="single" w:color="000000" w:sz="4" w:space="0"/>
              <w:right w:val="single" w:color="000000" w:sz="4" w:space="0"/>
            </w:tcBorders>
            <w:vAlign w:val="center"/>
          </w:tcPr>
          <w:p w14:paraId="0ECC039F">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耕作层肥力水平</w:t>
            </w:r>
          </w:p>
        </w:tc>
        <w:tc>
          <w:tcPr>
            <w:tcW w:w="806" w:type="pct"/>
            <w:gridSpan w:val="3"/>
            <w:tcBorders>
              <w:top w:val="single" w:color="000000" w:sz="4" w:space="0"/>
              <w:left w:val="nil"/>
              <w:bottom w:val="single" w:color="000000" w:sz="4" w:space="0"/>
              <w:right w:val="single" w:color="000000" w:sz="4" w:space="0"/>
            </w:tcBorders>
            <w:vAlign w:val="center"/>
          </w:tcPr>
          <w:p w14:paraId="43B3A80E">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水溶肥单次施用量（kg/667 m</w:t>
            </w:r>
            <w:r>
              <w:rPr>
                <w:rFonts w:hint="default" w:ascii="Times New Roman" w:hAnsi="Times New Roman" w:cs="Times New Roman"/>
                <w:color w:val="000000"/>
                <w:kern w:val="0"/>
                <w:sz w:val="18"/>
                <w:szCs w:val="18"/>
                <w:vertAlign w:val="superscript"/>
              </w:rPr>
              <w:t>2</w:t>
            </w:r>
            <w:r>
              <w:rPr>
                <w:rFonts w:hint="default" w:ascii="Times New Roman" w:hAnsi="Times New Roman" w:cs="Times New Roman"/>
                <w:color w:val="000000"/>
                <w:kern w:val="0"/>
                <w:sz w:val="18"/>
                <w:szCs w:val="18"/>
              </w:rPr>
              <w:t>）</w:t>
            </w:r>
          </w:p>
        </w:tc>
        <w:tc>
          <w:tcPr>
            <w:tcW w:w="332" w:type="pct"/>
            <w:vMerge w:val="restart"/>
            <w:tcBorders>
              <w:top w:val="single" w:color="000000" w:sz="4" w:space="0"/>
              <w:left w:val="nil"/>
              <w:bottom w:val="single" w:color="000000" w:sz="4" w:space="0"/>
              <w:right w:val="single" w:color="000000" w:sz="4" w:space="0"/>
            </w:tcBorders>
            <w:vAlign w:val="center"/>
          </w:tcPr>
          <w:p w14:paraId="5E42F664">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水溶肥施肥次数</w:t>
            </w:r>
          </w:p>
        </w:tc>
        <w:tc>
          <w:tcPr>
            <w:tcW w:w="838" w:type="pct"/>
            <w:gridSpan w:val="3"/>
            <w:tcBorders>
              <w:top w:val="single" w:color="000000" w:sz="4" w:space="0"/>
              <w:left w:val="nil"/>
              <w:bottom w:val="single" w:color="000000" w:sz="4" w:space="0"/>
              <w:right w:val="single" w:color="000000" w:sz="4" w:space="0"/>
            </w:tcBorders>
            <w:vAlign w:val="center"/>
          </w:tcPr>
          <w:p w14:paraId="49F33FA2">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水溶肥施用量</w:t>
            </w:r>
          </w:p>
          <w:p w14:paraId="13DCF38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（kg/667 m</w:t>
            </w:r>
            <w:r>
              <w:rPr>
                <w:rFonts w:hint="default" w:ascii="Times New Roman" w:hAnsi="Times New Roman" w:cs="Times New Roman"/>
                <w:color w:val="000000"/>
                <w:kern w:val="0"/>
                <w:sz w:val="18"/>
                <w:szCs w:val="18"/>
                <w:vertAlign w:val="superscript"/>
              </w:rPr>
              <w:t>2</w:t>
            </w:r>
            <w:r>
              <w:rPr>
                <w:rFonts w:hint="default" w:ascii="Times New Roman" w:hAnsi="Times New Roman" w:cs="Times New Roman"/>
                <w:color w:val="000000"/>
                <w:kern w:val="0"/>
                <w:sz w:val="18"/>
                <w:szCs w:val="18"/>
              </w:rPr>
              <w:t>）</w:t>
            </w:r>
          </w:p>
        </w:tc>
        <w:tc>
          <w:tcPr>
            <w:tcW w:w="485" w:type="pct"/>
            <w:tcBorders>
              <w:top w:val="single" w:color="000000" w:sz="4" w:space="0"/>
              <w:left w:val="nil"/>
              <w:bottom w:val="nil"/>
              <w:right w:val="single" w:color="000000" w:sz="4" w:space="0"/>
            </w:tcBorders>
            <w:vAlign w:val="center"/>
          </w:tcPr>
          <w:p w14:paraId="1E768AE9">
            <w:pPr>
              <w:adjustRightInd/>
              <w:spacing w:line="240" w:lineRule="auto"/>
              <w:jc w:val="center"/>
              <w:rPr>
                <w:rFonts w:hint="default" w:ascii="Times New Roman" w:hAnsi="Times New Roman" w:cs="Times New Roman"/>
                <w:color w:val="000000"/>
                <w:sz w:val="18"/>
                <w:szCs w:val="18"/>
              </w:rPr>
            </w:pPr>
          </w:p>
        </w:tc>
      </w:tr>
      <w:tr w14:paraId="1984AEBF">
        <w:tblPrEx>
          <w:tblCellMar>
            <w:top w:w="0" w:type="dxa"/>
            <w:left w:w="108" w:type="dxa"/>
            <w:bottom w:w="0" w:type="dxa"/>
            <w:right w:w="108" w:type="dxa"/>
          </w:tblCellMar>
        </w:tblPrEx>
        <w:trPr>
          <w:trHeight w:val="484" w:hRule="atLeast"/>
          <w:jc w:val="center"/>
        </w:trPr>
        <w:tc>
          <w:tcPr>
            <w:tcW w:w="382" w:type="pct"/>
            <w:vMerge w:val="continue"/>
            <w:tcBorders>
              <w:top w:val="single" w:color="000000" w:sz="4" w:space="0"/>
              <w:left w:val="single" w:color="000000" w:sz="4" w:space="0"/>
              <w:bottom w:val="single" w:color="000000" w:sz="4" w:space="0"/>
              <w:right w:val="single" w:color="000000" w:sz="4" w:space="0"/>
            </w:tcBorders>
            <w:vAlign w:val="center"/>
          </w:tcPr>
          <w:p w14:paraId="72DFEA42">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single" w:color="000000" w:sz="4" w:space="0"/>
              <w:left w:val="nil"/>
              <w:bottom w:val="single" w:color="000000" w:sz="4" w:space="0"/>
              <w:right w:val="single" w:color="000000" w:sz="4" w:space="0"/>
            </w:tcBorders>
            <w:vAlign w:val="center"/>
          </w:tcPr>
          <w:p w14:paraId="132AD180">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single" w:color="000000" w:sz="4" w:space="0"/>
              <w:left w:val="nil"/>
              <w:bottom w:val="single" w:color="000000" w:sz="4" w:space="0"/>
              <w:right w:val="single" w:color="000000" w:sz="4" w:space="0"/>
            </w:tcBorders>
            <w:vAlign w:val="center"/>
          </w:tcPr>
          <w:p w14:paraId="6CB3E826">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single" w:color="000000" w:sz="4" w:space="0"/>
              <w:left w:val="nil"/>
              <w:bottom w:val="single" w:color="000000" w:sz="4" w:space="0"/>
              <w:right w:val="single" w:color="000000" w:sz="4" w:space="0"/>
            </w:tcBorders>
            <w:vAlign w:val="center"/>
          </w:tcPr>
          <w:p w14:paraId="4CDDF30A">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single" w:color="000000" w:sz="4" w:space="0"/>
              <w:left w:val="nil"/>
              <w:bottom w:val="single" w:color="000000" w:sz="4" w:space="0"/>
              <w:right w:val="single" w:color="000000" w:sz="4" w:space="0"/>
            </w:tcBorders>
            <w:vAlign w:val="center"/>
          </w:tcPr>
          <w:p w14:paraId="79C19C93">
            <w:pPr>
              <w:widowControl/>
              <w:adjustRightInd/>
              <w:spacing w:line="240" w:lineRule="auto"/>
              <w:jc w:val="left"/>
              <w:rPr>
                <w:rFonts w:hint="default" w:ascii="Times New Roman" w:hAnsi="Times New Roman" w:cs="Times New Roman"/>
                <w:color w:val="000000"/>
                <w:sz w:val="18"/>
                <w:szCs w:val="18"/>
              </w:rPr>
            </w:pPr>
          </w:p>
        </w:tc>
        <w:tc>
          <w:tcPr>
            <w:tcW w:w="302" w:type="pct"/>
            <w:vMerge w:val="continue"/>
            <w:tcBorders>
              <w:top w:val="single" w:color="000000" w:sz="4" w:space="0"/>
              <w:left w:val="nil"/>
              <w:bottom w:val="single" w:color="000000" w:sz="4" w:space="0"/>
              <w:right w:val="single" w:color="000000" w:sz="4" w:space="0"/>
            </w:tcBorders>
            <w:vAlign w:val="center"/>
          </w:tcPr>
          <w:p w14:paraId="13A09A5B">
            <w:pPr>
              <w:widowControl/>
              <w:adjustRightInd/>
              <w:spacing w:line="240" w:lineRule="auto"/>
              <w:jc w:val="left"/>
              <w:rPr>
                <w:rFonts w:hint="default" w:ascii="Times New Roman" w:hAnsi="Times New Roman" w:cs="Times New Roman"/>
                <w:color w:val="000000"/>
                <w:sz w:val="18"/>
                <w:szCs w:val="18"/>
              </w:rPr>
            </w:pPr>
          </w:p>
        </w:tc>
        <w:tc>
          <w:tcPr>
            <w:tcW w:w="244" w:type="pct"/>
            <w:tcBorders>
              <w:top w:val="single" w:color="000000" w:sz="4" w:space="0"/>
              <w:left w:val="nil"/>
              <w:bottom w:val="single" w:color="000000" w:sz="4" w:space="0"/>
              <w:right w:val="single" w:color="000000" w:sz="4" w:space="0"/>
            </w:tcBorders>
            <w:vAlign w:val="center"/>
          </w:tcPr>
          <w:p w14:paraId="134E5EB7">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N</w:t>
            </w:r>
          </w:p>
        </w:tc>
        <w:tc>
          <w:tcPr>
            <w:tcW w:w="294" w:type="pct"/>
            <w:tcBorders>
              <w:top w:val="single" w:color="000000" w:sz="4" w:space="0"/>
              <w:left w:val="nil"/>
              <w:bottom w:val="single" w:color="000000" w:sz="4" w:space="0"/>
              <w:right w:val="single" w:color="000000" w:sz="4" w:space="0"/>
            </w:tcBorders>
            <w:vAlign w:val="center"/>
          </w:tcPr>
          <w:p w14:paraId="40945B29">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P</w:t>
            </w:r>
            <w:r>
              <w:rPr>
                <w:rFonts w:hint="default" w:ascii="Times New Roman" w:hAnsi="Times New Roman" w:cs="Times New Roman"/>
                <w:color w:val="000000"/>
                <w:kern w:val="0"/>
                <w:sz w:val="18"/>
                <w:szCs w:val="18"/>
                <w:vertAlign w:val="subscript"/>
              </w:rPr>
              <w:t>2</w:t>
            </w:r>
            <w:r>
              <w:rPr>
                <w:rFonts w:hint="default" w:ascii="Times New Roman" w:hAnsi="Times New Roman" w:cs="Times New Roman"/>
                <w:color w:val="000000"/>
                <w:kern w:val="0"/>
                <w:sz w:val="18"/>
                <w:szCs w:val="18"/>
              </w:rPr>
              <w:t>O</w:t>
            </w:r>
            <w:r>
              <w:rPr>
                <w:rFonts w:hint="default" w:ascii="Times New Roman" w:hAnsi="Times New Roman" w:cs="Times New Roman"/>
                <w:color w:val="000000"/>
                <w:kern w:val="0"/>
                <w:sz w:val="18"/>
                <w:szCs w:val="18"/>
                <w:vertAlign w:val="subscript"/>
              </w:rPr>
              <w:t>5</w:t>
            </w:r>
          </w:p>
        </w:tc>
        <w:tc>
          <w:tcPr>
            <w:tcW w:w="268" w:type="pct"/>
            <w:tcBorders>
              <w:top w:val="single" w:color="000000" w:sz="4" w:space="0"/>
              <w:left w:val="nil"/>
              <w:bottom w:val="single" w:color="000000" w:sz="4" w:space="0"/>
              <w:right w:val="single" w:color="000000" w:sz="4" w:space="0"/>
            </w:tcBorders>
            <w:vAlign w:val="center"/>
          </w:tcPr>
          <w:p w14:paraId="167A1514">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K</w:t>
            </w:r>
            <w:r>
              <w:rPr>
                <w:rFonts w:hint="default" w:ascii="Times New Roman" w:hAnsi="Times New Roman" w:cs="Times New Roman"/>
                <w:color w:val="000000"/>
                <w:kern w:val="0"/>
                <w:sz w:val="18"/>
                <w:szCs w:val="18"/>
                <w:vertAlign w:val="subscript"/>
              </w:rPr>
              <w:t>2</w:t>
            </w:r>
            <w:r>
              <w:rPr>
                <w:rFonts w:hint="default" w:ascii="Times New Roman" w:hAnsi="Times New Roman" w:cs="Times New Roman"/>
                <w:color w:val="000000"/>
                <w:kern w:val="0"/>
                <w:sz w:val="18"/>
                <w:szCs w:val="18"/>
              </w:rPr>
              <w:t>O</w:t>
            </w:r>
          </w:p>
        </w:tc>
        <w:tc>
          <w:tcPr>
            <w:tcW w:w="332" w:type="pct"/>
            <w:vMerge w:val="continue"/>
            <w:tcBorders>
              <w:top w:val="single" w:color="000000" w:sz="4" w:space="0"/>
              <w:left w:val="nil"/>
              <w:bottom w:val="single" w:color="000000" w:sz="4" w:space="0"/>
              <w:right w:val="single" w:color="000000" w:sz="4" w:space="0"/>
            </w:tcBorders>
            <w:vAlign w:val="center"/>
          </w:tcPr>
          <w:p w14:paraId="64876A4B">
            <w:pPr>
              <w:widowControl/>
              <w:adjustRightInd/>
              <w:spacing w:line="240" w:lineRule="auto"/>
              <w:jc w:val="left"/>
              <w:rPr>
                <w:rFonts w:hint="default" w:ascii="Times New Roman" w:hAnsi="Times New Roman" w:cs="Times New Roman"/>
                <w:color w:val="000000"/>
                <w:sz w:val="18"/>
                <w:szCs w:val="18"/>
              </w:rPr>
            </w:pPr>
          </w:p>
        </w:tc>
        <w:tc>
          <w:tcPr>
            <w:tcW w:w="264" w:type="pct"/>
            <w:tcBorders>
              <w:top w:val="single" w:color="000000" w:sz="4" w:space="0"/>
              <w:left w:val="nil"/>
              <w:bottom w:val="single" w:color="000000" w:sz="4" w:space="0"/>
              <w:right w:val="single" w:color="000000" w:sz="4" w:space="0"/>
            </w:tcBorders>
            <w:vAlign w:val="center"/>
          </w:tcPr>
          <w:p w14:paraId="3A05AAC5">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N</w:t>
            </w:r>
          </w:p>
        </w:tc>
        <w:tc>
          <w:tcPr>
            <w:tcW w:w="268" w:type="pct"/>
            <w:tcBorders>
              <w:top w:val="single" w:color="000000" w:sz="4" w:space="0"/>
              <w:left w:val="nil"/>
              <w:bottom w:val="single" w:color="000000" w:sz="4" w:space="0"/>
              <w:right w:val="single" w:color="000000" w:sz="4" w:space="0"/>
            </w:tcBorders>
            <w:vAlign w:val="center"/>
          </w:tcPr>
          <w:p w14:paraId="06751426">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P</w:t>
            </w:r>
            <w:r>
              <w:rPr>
                <w:rFonts w:hint="default" w:ascii="Times New Roman" w:hAnsi="Times New Roman" w:cs="Times New Roman"/>
                <w:color w:val="000000"/>
                <w:kern w:val="0"/>
                <w:sz w:val="18"/>
                <w:szCs w:val="18"/>
                <w:vertAlign w:val="subscript"/>
              </w:rPr>
              <w:t>2</w:t>
            </w:r>
            <w:r>
              <w:rPr>
                <w:rFonts w:hint="default" w:ascii="Times New Roman" w:hAnsi="Times New Roman" w:cs="Times New Roman"/>
                <w:color w:val="000000"/>
                <w:kern w:val="0"/>
                <w:sz w:val="18"/>
                <w:szCs w:val="18"/>
              </w:rPr>
              <w:t>O</w:t>
            </w:r>
            <w:r>
              <w:rPr>
                <w:rFonts w:hint="default" w:ascii="Times New Roman" w:hAnsi="Times New Roman" w:cs="Times New Roman"/>
                <w:color w:val="000000"/>
                <w:kern w:val="0"/>
                <w:sz w:val="18"/>
                <w:szCs w:val="18"/>
                <w:vertAlign w:val="subscript"/>
              </w:rPr>
              <w:t>5</w:t>
            </w:r>
          </w:p>
        </w:tc>
        <w:tc>
          <w:tcPr>
            <w:tcW w:w="306" w:type="pct"/>
            <w:tcBorders>
              <w:top w:val="single" w:color="000000" w:sz="4" w:space="0"/>
              <w:left w:val="nil"/>
              <w:bottom w:val="single" w:color="000000" w:sz="4" w:space="0"/>
              <w:right w:val="single" w:color="000000" w:sz="4" w:space="0"/>
            </w:tcBorders>
            <w:vAlign w:val="center"/>
          </w:tcPr>
          <w:p w14:paraId="54929B58">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K</w:t>
            </w:r>
            <w:r>
              <w:rPr>
                <w:rFonts w:hint="default" w:ascii="Times New Roman" w:hAnsi="Times New Roman" w:cs="Times New Roman"/>
                <w:color w:val="000000"/>
                <w:kern w:val="0"/>
                <w:sz w:val="18"/>
                <w:szCs w:val="18"/>
                <w:vertAlign w:val="subscript"/>
              </w:rPr>
              <w:t>2</w:t>
            </w:r>
            <w:r>
              <w:rPr>
                <w:rFonts w:hint="default" w:ascii="Times New Roman" w:hAnsi="Times New Roman" w:cs="Times New Roman"/>
                <w:color w:val="000000"/>
                <w:kern w:val="0"/>
                <w:sz w:val="18"/>
                <w:szCs w:val="18"/>
              </w:rPr>
              <w:t>O</w:t>
            </w:r>
          </w:p>
        </w:tc>
        <w:tc>
          <w:tcPr>
            <w:tcW w:w="485" w:type="pct"/>
            <w:tcBorders>
              <w:top w:val="single" w:color="000000" w:sz="4" w:space="0"/>
              <w:left w:val="nil"/>
              <w:bottom w:val="single" w:color="000000" w:sz="4" w:space="0"/>
              <w:right w:val="single" w:color="000000" w:sz="4" w:space="0"/>
            </w:tcBorders>
            <w:vAlign w:val="center"/>
          </w:tcPr>
          <w:p w14:paraId="175E58E3">
            <w:pPr>
              <w:adjustRightInd/>
              <w:spacing w:line="240" w:lineRule="auto"/>
              <w:jc w:val="center"/>
              <w:rPr>
                <w:rFonts w:hint="default" w:ascii="Times New Roman" w:hAnsi="Times New Roman" w:cs="Times New Roman"/>
                <w:color w:val="000000"/>
                <w:sz w:val="18"/>
                <w:szCs w:val="18"/>
              </w:rPr>
            </w:pPr>
          </w:p>
        </w:tc>
      </w:tr>
      <w:tr w14:paraId="6F450902">
        <w:tblPrEx>
          <w:tblCellMar>
            <w:top w:w="0" w:type="dxa"/>
            <w:left w:w="108" w:type="dxa"/>
            <w:bottom w:w="0" w:type="dxa"/>
            <w:right w:w="108" w:type="dxa"/>
          </w:tblCellMar>
        </w:tblPrEx>
        <w:trPr>
          <w:trHeight w:val="760" w:hRule="atLeast"/>
          <w:jc w:val="center"/>
        </w:trPr>
        <w:tc>
          <w:tcPr>
            <w:tcW w:w="382" w:type="pct"/>
            <w:tcBorders>
              <w:top w:val="single" w:color="000000" w:sz="4" w:space="0"/>
              <w:left w:val="single" w:color="000000" w:sz="4" w:space="0"/>
              <w:bottom w:val="single" w:color="000000" w:sz="4" w:space="0"/>
              <w:right w:val="single" w:color="000000" w:sz="4" w:space="0"/>
            </w:tcBorders>
            <w:vAlign w:val="center"/>
          </w:tcPr>
          <w:p w14:paraId="1230844C">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播种期</w:t>
            </w:r>
          </w:p>
        </w:tc>
        <w:tc>
          <w:tcPr>
            <w:tcW w:w="444" w:type="pct"/>
            <w:tcBorders>
              <w:top w:val="single" w:color="000000" w:sz="4" w:space="0"/>
              <w:left w:val="nil"/>
              <w:bottom w:val="single" w:color="000000" w:sz="4" w:space="0"/>
              <w:right w:val="single" w:color="000000" w:sz="4" w:space="0"/>
            </w:tcBorders>
            <w:vAlign w:val="center"/>
          </w:tcPr>
          <w:p w14:paraId="6A4FFFD8">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4月中下旬</w:t>
            </w:r>
          </w:p>
        </w:tc>
        <w:tc>
          <w:tcPr>
            <w:tcW w:w="502" w:type="pct"/>
            <w:tcBorders>
              <w:top w:val="single" w:color="000000" w:sz="4" w:space="0"/>
              <w:left w:val="nil"/>
              <w:bottom w:val="single" w:color="000000" w:sz="4" w:space="0"/>
              <w:right w:val="single" w:color="000000" w:sz="4" w:space="0"/>
            </w:tcBorders>
            <w:vAlign w:val="center"/>
          </w:tcPr>
          <w:p w14:paraId="1A16F011">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17～18</w:t>
            </w:r>
          </w:p>
        </w:tc>
        <w:tc>
          <w:tcPr>
            <w:tcW w:w="404" w:type="pct"/>
            <w:tcBorders>
              <w:top w:val="single" w:color="000000" w:sz="4" w:space="0"/>
              <w:left w:val="nil"/>
              <w:bottom w:val="single" w:color="000000" w:sz="4" w:space="0"/>
              <w:right w:val="single" w:color="000000" w:sz="4" w:space="0"/>
            </w:tcBorders>
            <w:vAlign w:val="center"/>
          </w:tcPr>
          <w:p w14:paraId="7D04738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w:t>
            </w:r>
          </w:p>
        </w:tc>
        <w:tc>
          <w:tcPr>
            <w:tcW w:w="505" w:type="pct"/>
            <w:tcBorders>
              <w:top w:val="single" w:color="000000" w:sz="4" w:space="0"/>
              <w:left w:val="nil"/>
              <w:bottom w:val="single" w:color="000000" w:sz="4" w:space="0"/>
              <w:right w:val="single" w:color="000000" w:sz="4" w:space="0"/>
            </w:tcBorders>
            <w:vAlign w:val="center"/>
          </w:tcPr>
          <w:p w14:paraId="2ED1A49E">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17～18</w:t>
            </w:r>
          </w:p>
        </w:tc>
        <w:tc>
          <w:tcPr>
            <w:tcW w:w="302" w:type="pct"/>
            <w:tcBorders>
              <w:top w:val="single" w:color="000000" w:sz="4" w:space="0"/>
              <w:left w:val="nil"/>
              <w:bottom w:val="single" w:color="000000" w:sz="4" w:space="0"/>
              <w:right w:val="single" w:color="000000" w:sz="4" w:space="0"/>
            </w:tcBorders>
            <w:vAlign w:val="center"/>
          </w:tcPr>
          <w:p w14:paraId="3BA50476">
            <w:pPr>
              <w:adjustRightInd/>
              <w:spacing w:line="240" w:lineRule="auto"/>
              <w:jc w:val="center"/>
              <w:rPr>
                <w:rFonts w:hint="default" w:ascii="Times New Roman" w:hAnsi="Times New Roman" w:cs="Times New Roman"/>
                <w:color w:val="000000"/>
                <w:sz w:val="18"/>
                <w:szCs w:val="18"/>
              </w:rPr>
            </w:pPr>
          </w:p>
        </w:tc>
        <w:tc>
          <w:tcPr>
            <w:tcW w:w="244" w:type="pct"/>
            <w:tcBorders>
              <w:top w:val="single" w:color="000000" w:sz="4" w:space="0"/>
              <w:left w:val="nil"/>
              <w:bottom w:val="single" w:color="000000" w:sz="4" w:space="0"/>
              <w:right w:val="single" w:color="000000" w:sz="4" w:space="0"/>
            </w:tcBorders>
            <w:vAlign w:val="center"/>
          </w:tcPr>
          <w:p w14:paraId="44A8EC26">
            <w:pPr>
              <w:adjustRightInd/>
              <w:spacing w:line="240" w:lineRule="auto"/>
              <w:jc w:val="center"/>
              <w:rPr>
                <w:rFonts w:hint="default" w:ascii="Times New Roman" w:hAnsi="Times New Roman" w:cs="Times New Roman"/>
                <w:color w:val="000000"/>
                <w:sz w:val="18"/>
                <w:szCs w:val="18"/>
              </w:rPr>
            </w:pPr>
          </w:p>
        </w:tc>
        <w:tc>
          <w:tcPr>
            <w:tcW w:w="294" w:type="pct"/>
            <w:tcBorders>
              <w:top w:val="single" w:color="000000" w:sz="4" w:space="0"/>
              <w:left w:val="nil"/>
              <w:bottom w:val="single" w:color="000000" w:sz="4" w:space="0"/>
              <w:right w:val="single" w:color="000000" w:sz="4" w:space="0"/>
            </w:tcBorders>
            <w:vAlign w:val="center"/>
          </w:tcPr>
          <w:p w14:paraId="1F783A02">
            <w:pPr>
              <w:adjustRightInd/>
              <w:spacing w:line="240" w:lineRule="auto"/>
              <w:jc w:val="center"/>
              <w:rPr>
                <w:rFonts w:hint="default" w:ascii="Times New Roman" w:hAnsi="Times New Roman" w:cs="Times New Roman"/>
                <w:color w:val="000000"/>
                <w:sz w:val="18"/>
                <w:szCs w:val="18"/>
              </w:rPr>
            </w:pPr>
          </w:p>
        </w:tc>
        <w:tc>
          <w:tcPr>
            <w:tcW w:w="268" w:type="pct"/>
            <w:tcBorders>
              <w:top w:val="single" w:color="000000" w:sz="4" w:space="0"/>
              <w:left w:val="nil"/>
              <w:bottom w:val="single" w:color="000000" w:sz="4" w:space="0"/>
              <w:right w:val="single" w:color="000000" w:sz="4" w:space="0"/>
            </w:tcBorders>
            <w:vAlign w:val="center"/>
          </w:tcPr>
          <w:p w14:paraId="62562E26">
            <w:pPr>
              <w:adjustRightInd/>
              <w:spacing w:line="240" w:lineRule="auto"/>
              <w:jc w:val="center"/>
              <w:rPr>
                <w:rFonts w:hint="default" w:ascii="Times New Roman" w:hAnsi="Times New Roman" w:cs="Times New Roman"/>
                <w:color w:val="000000"/>
                <w:sz w:val="18"/>
                <w:szCs w:val="18"/>
              </w:rPr>
            </w:pPr>
          </w:p>
        </w:tc>
        <w:tc>
          <w:tcPr>
            <w:tcW w:w="332" w:type="pct"/>
            <w:tcBorders>
              <w:top w:val="single" w:color="000000" w:sz="4" w:space="0"/>
              <w:left w:val="nil"/>
              <w:bottom w:val="single" w:color="000000" w:sz="4" w:space="0"/>
              <w:right w:val="single" w:color="000000" w:sz="4" w:space="0"/>
            </w:tcBorders>
            <w:vAlign w:val="center"/>
          </w:tcPr>
          <w:p w14:paraId="1F355654">
            <w:pPr>
              <w:adjustRightInd/>
              <w:spacing w:line="240" w:lineRule="auto"/>
              <w:jc w:val="center"/>
              <w:rPr>
                <w:rFonts w:hint="default" w:ascii="Times New Roman" w:hAnsi="Times New Roman" w:cs="Times New Roman"/>
                <w:color w:val="000000"/>
                <w:sz w:val="18"/>
                <w:szCs w:val="18"/>
              </w:rPr>
            </w:pPr>
          </w:p>
        </w:tc>
        <w:tc>
          <w:tcPr>
            <w:tcW w:w="264" w:type="pct"/>
            <w:tcBorders>
              <w:top w:val="single" w:color="000000" w:sz="4" w:space="0"/>
              <w:left w:val="nil"/>
              <w:bottom w:val="single" w:color="000000" w:sz="4" w:space="0"/>
              <w:right w:val="single" w:color="000000" w:sz="4" w:space="0"/>
            </w:tcBorders>
            <w:vAlign w:val="center"/>
          </w:tcPr>
          <w:p w14:paraId="5C3D84EB">
            <w:pPr>
              <w:adjustRightInd/>
              <w:spacing w:line="240" w:lineRule="auto"/>
              <w:jc w:val="center"/>
              <w:rPr>
                <w:rFonts w:hint="default" w:ascii="Times New Roman" w:hAnsi="Times New Roman" w:cs="Times New Roman"/>
                <w:color w:val="000000"/>
                <w:sz w:val="18"/>
                <w:szCs w:val="18"/>
              </w:rPr>
            </w:pPr>
          </w:p>
        </w:tc>
        <w:tc>
          <w:tcPr>
            <w:tcW w:w="268" w:type="pct"/>
            <w:tcBorders>
              <w:top w:val="single" w:color="000000" w:sz="4" w:space="0"/>
              <w:left w:val="nil"/>
              <w:bottom w:val="single" w:color="000000" w:sz="4" w:space="0"/>
              <w:right w:val="single" w:color="000000" w:sz="4" w:space="0"/>
            </w:tcBorders>
            <w:vAlign w:val="center"/>
          </w:tcPr>
          <w:p w14:paraId="3F21123F">
            <w:pPr>
              <w:adjustRightInd/>
              <w:spacing w:line="240" w:lineRule="auto"/>
              <w:jc w:val="center"/>
              <w:rPr>
                <w:rFonts w:hint="default" w:ascii="Times New Roman" w:hAnsi="Times New Roman" w:cs="Times New Roman"/>
                <w:color w:val="000000"/>
                <w:sz w:val="18"/>
                <w:szCs w:val="18"/>
              </w:rPr>
            </w:pPr>
          </w:p>
        </w:tc>
        <w:tc>
          <w:tcPr>
            <w:tcW w:w="306" w:type="pct"/>
            <w:tcBorders>
              <w:top w:val="single" w:color="000000" w:sz="4" w:space="0"/>
              <w:left w:val="nil"/>
              <w:bottom w:val="single" w:color="000000" w:sz="4" w:space="0"/>
              <w:right w:val="single" w:color="000000" w:sz="4" w:space="0"/>
            </w:tcBorders>
            <w:vAlign w:val="center"/>
          </w:tcPr>
          <w:p w14:paraId="72C5E3C9">
            <w:pPr>
              <w:adjustRightInd/>
              <w:spacing w:line="240" w:lineRule="auto"/>
              <w:jc w:val="center"/>
              <w:rPr>
                <w:rFonts w:hint="default" w:ascii="Times New Roman" w:hAnsi="Times New Roman" w:cs="Times New Roman"/>
                <w:color w:val="000000"/>
                <w:sz w:val="18"/>
                <w:szCs w:val="18"/>
              </w:rPr>
            </w:pPr>
          </w:p>
        </w:tc>
        <w:tc>
          <w:tcPr>
            <w:tcW w:w="485" w:type="pct"/>
            <w:tcBorders>
              <w:top w:val="single" w:color="000000" w:sz="4" w:space="0"/>
              <w:left w:val="nil"/>
              <w:bottom w:val="single" w:color="000000" w:sz="4" w:space="0"/>
              <w:right w:val="single" w:color="000000" w:sz="4" w:space="0"/>
            </w:tcBorders>
            <w:vAlign w:val="center"/>
          </w:tcPr>
          <w:p w14:paraId="2CC07B40">
            <w:pPr>
              <w:adjustRightInd/>
              <w:spacing w:line="240" w:lineRule="auto"/>
              <w:jc w:val="center"/>
              <w:rPr>
                <w:rFonts w:hint="default" w:ascii="Times New Roman" w:hAnsi="Times New Roman" w:cs="Times New Roman"/>
                <w:color w:val="000000"/>
                <w:sz w:val="18"/>
                <w:szCs w:val="18"/>
              </w:rPr>
            </w:pPr>
          </w:p>
        </w:tc>
      </w:tr>
      <w:tr w14:paraId="39436C6C">
        <w:tblPrEx>
          <w:tblCellMar>
            <w:top w:w="0" w:type="dxa"/>
            <w:left w:w="108" w:type="dxa"/>
            <w:bottom w:w="0" w:type="dxa"/>
            <w:right w:w="108" w:type="dxa"/>
          </w:tblCellMar>
        </w:tblPrEx>
        <w:trPr>
          <w:trHeight w:val="340" w:hRule="atLeast"/>
          <w:jc w:val="center"/>
        </w:trPr>
        <w:tc>
          <w:tcPr>
            <w:tcW w:w="382" w:type="pct"/>
            <w:vMerge w:val="restart"/>
            <w:tcBorders>
              <w:top w:val="nil"/>
              <w:left w:val="single" w:color="000000" w:sz="4" w:space="0"/>
              <w:bottom w:val="single" w:color="000000" w:sz="4" w:space="0"/>
              <w:right w:val="single" w:color="000000" w:sz="4" w:space="0"/>
            </w:tcBorders>
            <w:vAlign w:val="center"/>
          </w:tcPr>
          <w:p w14:paraId="46778BDC">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苗 期</w:t>
            </w:r>
          </w:p>
        </w:tc>
        <w:tc>
          <w:tcPr>
            <w:tcW w:w="444" w:type="pct"/>
            <w:vMerge w:val="restart"/>
            <w:tcBorders>
              <w:top w:val="nil"/>
              <w:left w:val="nil"/>
              <w:bottom w:val="single" w:color="000000" w:sz="4" w:space="0"/>
              <w:right w:val="single" w:color="000000" w:sz="4" w:space="0"/>
            </w:tcBorders>
            <w:vAlign w:val="center"/>
          </w:tcPr>
          <w:p w14:paraId="733D53C1">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5月上旬～6月上旬</w:t>
            </w:r>
          </w:p>
        </w:tc>
        <w:tc>
          <w:tcPr>
            <w:tcW w:w="502" w:type="pct"/>
            <w:vMerge w:val="restart"/>
            <w:tcBorders>
              <w:top w:val="nil"/>
              <w:left w:val="nil"/>
              <w:bottom w:val="single" w:color="000000" w:sz="4" w:space="0"/>
              <w:right w:val="single" w:color="000000" w:sz="4" w:space="0"/>
            </w:tcBorders>
            <w:vAlign w:val="center"/>
          </w:tcPr>
          <w:p w14:paraId="12C31557">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17～18</w:t>
            </w:r>
          </w:p>
        </w:tc>
        <w:tc>
          <w:tcPr>
            <w:tcW w:w="404" w:type="pct"/>
            <w:vMerge w:val="restart"/>
            <w:tcBorders>
              <w:top w:val="nil"/>
              <w:left w:val="nil"/>
              <w:bottom w:val="single" w:color="000000" w:sz="4" w:space="0"/>
              <w:right w:val="single" w:color="000000" w:sz="4" w:space="0"/>
            </w:tcBorders>
            <w:vAlign w:val="center"/>
          </w:tcPr>
          <w:p w14:paraId="611678C1">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w:t>
            </w:r>
          </w:p>
        </w:tc>
        <w:tc>
          <w:tcPr>
            <w:tcW w:w="505" w:type="pct"/>
            <w:vMerge w:val="restart"/>
            <w:tcBorders>
              <w:top w:val="nil"/>
              <w:left w:val="nil"/>
              <w:bottom w:val="single" w:color="000000" w:sz="4" w:space="0"/>
              <w:right w:val="single" w:color="000000" w:sz="4" w:space="0"/>
            </w:tcBorders>
            <w:vAlign w:val="center"/>
          </w:tcPr>
          <w:p w14:paraId="36236F43">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17～18</w:t>
            </w:r>
          </w:p>
        </w:tc>
        <w:tc>
          <w:tcPr>
            <w:tcW w:w="302" w:type="pct"/>
            <w:tcBorders>
              <w:top w:val="single" w:color="000000" w:sz="4" w:space="0"/>
              <w:left w:val="nil"/>
              <w:bottom w:val="single" w:color="000000" w:sz="4" w:space="0"/>
              <w:right w:val="single" w:color="000000" w:sz="4" w:space="0"/>
            </w:tcBorders>
            <w:vAlign w:val="center"/>
          </w:tcPr>
          <w:p w14:paraId="08702D71">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高</w:t>
            </w:r>
          </w:p>
        </w:tc>
        <w:tc>
          <w:tcPr>
            <w:tcW w:w="244" w:type="pct"/>
            <w:tcBorders>
              <w:top w:val="single" w:color="000000" w:sz="4" w:space="0"/>
              <w:left w:val="nil"/>
              <w:bottom w:val="single" w:color="000000" w:sz="4" w:space="0"/>
              <w:right w:val="single" w:color="000000" w:sz="4" w:space="0"/>
            </w:tcBorders>
            <w:vAlign w:val="center"/>
          </w:tcPr>
          <w:p w14:paraId="528C023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2.56 </w:t>
            </w:r>
          </w:p>
        </w:tc>
        <w:tc>
          <w:tcPr>
            <w:tcW w:w="294" w:type="pct"/>
            <w:tcBorders>
              <w:top w:val="single" w:color="000000" w:sz="4" w:space="0"/>
              <w:left w:val="nil"/>
              <w:bottom w:val="single" w:color="000000" w:sz="4" w:space="0"/>
              <w:right w:val="single" w:color="000000" w:sz="4" w:space="0"/>
            </w:tcBorders>
            <w:vAlign w:val="center"/>
          </w:tcPr>
          <w:p w14:paraId="603D1034">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0.80 </w:t>
            </w:r>
          </w:p>
        </w:tc>
        <w:tc>
          <w:tcPr>
            <w:tcW w:w="268" w:type="pct"/>
            <w:tcBorders>
              <w:top w:val="single" w:color="000000" w:sz="4" w:space="0"/>
              <w:left w:val="nil"/>
              <w:bottom w:val="single" w:color="000000" w:sz="4" w:space="0"/>
              <w:right w:val="single" w:color="000000" w:sz="4" w:space="0"/>
            </w:tcBorders>
            <w:vAlign w:val="center"/>
          </w:tcPr>
          <w:p w14:paraId="21A38524">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0.64 </w:t>
            </w:r>
          </w:p>
        </w:tc>
        <w:tc>
          <w:tcPr>
            <w:tcW w:w="332" w:type="pct"/>
            <w:tcBorders>
              <w:top w:val="single" w:color="000000" w:sz="4" w:space="0"/>
              <w:left w:val="nil"/>
              <w:bottom w:val="single" w:color="000000" w:sz="4" w:space="0"/>
              <w:right w:val="single" w:color="000000" w:sz="4" w:space="0"/>
            </w:tcBorders>
            <w:vAlign w:val="center"/>
          </w:tcPr>
          <w:p w14:paraId="19377F49">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w:t>
            </w:r>
          </w:p>
        </w:tc>
        <w:tc>
          <w:tcPr>
            <w:tcW w:w="264" w:type="pct"/>
            <w:tcBorders>
              <w:top w:val="single" w:color="000000" w:sz="4" w:space="0"/>
              <w:left w:val="nil"/>
              <w:bottom w:val="single" w:color="000000" w:sz="4" w:space="0"/>
              <w:right w:val="single" w:color="000000" w:sz="4" w:space="0"/>
            </w:tcBorders>
            <w:vAlign w:val="center"/>
          </w:tcPr>
          <w:p w14:paraId="011AD8C2">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2.56 </w:t>
            </w:r>
          </w:p>
        </w:tc>
        <w:tc>
          <w:tcPr>
            <w:tcW w:w="268" w:type="pct"/>
            <w:tcBorders>
              <w:top w:val="single" w:color="000000" w:sz="4" w:space="0"/>
              <w:left w:val="nil"/>
              <w:bottom w:val="single" w:color="000000" w:sz="4" w:space="0"/>
              <w:right w:val="single" w:color="000000" w:sz="4" w:space="0"/>
            </w:tcBorders>
            <w:vAlign w:val="center"/>
          </w:tcPr>
          <w:p w14:paraId="7DFA37A8">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0.80 </w:t>
            </w:r>
          </w:p>
        </w:tc>
        <w:tc>
          <w:tcPr>
            <w:tcW w:w="306" w:type="pct"/>
            <w:tcBorders>
              <w:top w:val="single" w:color="000000" w:sz="4" w:space="0"/>
              <w:left w:val="nil"/>
              <w:bottom w:val="single" w:color="000000" w:sz="4" w:space="0"/>
              <w:right w:val="single" w:color="000000" w:sz="4" w:space="0"/>
            </w:tcBorders>
            <w:vAlign w:val="center"/>
          </w:tcPr>
          <w:p w14:paraId="0336162E">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0.64 </w:t>
            </w:r>
          </w:p>
        </w:tc>
        <w:tc>
          <w:tcPr>
            <w:tcW w:w="485" w:type="pct"/>
            <w:vMerge w:val="restart"/>
            <w:tcBorders>
              <w:top w:val="nil"/>
              <w:left w:val="nil"/>
              <w:bottom w:val="single" w:color="000000" w:sz="4" w:space="0"/>
              <w:right w:val="single" w:color="000000" w:sz="4" w:space="0"/>
            </w:tcBorders>
            <w:vAlign w:val="center"/>
          </w:tcPr>
          <w:p w14:paraId="4CFDA22D">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水溶肥施肥选用单质水溶肥或复合水溶肥配施</w:t>
            </w:r>
          </w:p>
        </w:tc>
      </w:tr>
      <w:tr w14:paraId="1D4D4706">
        <w:tblPrEx>
          <w:tblCellMar>
            <w:top w:w="0" w:type="dxa"/>
            <w:left w:w="108" w:type="dxa"/>
            <w:bottom w:w="0" w:type="dxa"/>
            <w:right w:w="108" w:type="dxa"/>
          </w:tblCellMar>
        </w:tblPrEx>
        <w:trPr>
          <w:trHeight w:val="340" w:hRule="atLeast"/>
          <w:jc w:val="center"/>
        </w:trPr>
        <w:tc>
          <w:tcPr>
            <w:tcW w:w="382" w:type="pct"/>
            <w:vMerge w:val="continue"/>
            <w:tcBorders>
              <w:top w:val="nil"/>
              <w:left w:val="single" w:color="000000" w:sz="4" w:space="0"/>
              <w:bottom w:val="single" w:color="000000" w:sz="4" w:space="0"/>
              <w:right w:val="single" w:color="000000" w:sz="4" w:space="0"/>
            </w:tcBorders>
            <w:vAlign w:val="center"/>
          </w:tcPr>
          <w:p w14:paraId="6AA32E11">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nil"/>
              <w:left w:val="nil"/>
              <w:bottom w:val="single" w:color="000000" w:sz="4" w:space="0"/>
              <w:right w:val="single" w:color="000000" w:sz="4" w:space="0"/>
            </w:tcBorders>
            <w:vAlign w:val="center"/>
          </w:tcPr>
          <w:p w14:paraId="112B4348">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nil"/>
              <w:left w:val="nil"/>
              <w:bottom w:val="single" w:color="000000" w:sz="4" w:space="0"/>
              <w:right w:val="single" w:color="000000" w:sz="4" w:space="0"/>
            </w:tcBorders>
            <w:vAlign w:val="center"/>
          </w:tcPr>
          <w:p w14:paraId="43C0D35C">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nil"/>
              <w:left w:val="nil"/>
              <w:bottom w:val="single" w:color="000000" w:sz="4" w:space="0"/>
              <w:right w:val="single" w:color="000000" w:sz="4" w:space="0"/>
            </w:tcBorders>
            <w:vAlign w:val="center"/>
          </w:tcPr>
          <w:p w14:paraId="57793EB9">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nil"/>
              <w:left w:val="nil"/>
              <w:bottom w:val="single" w:color="000000" w:sz="4" w:space="0"/>
              <w:right w:val="single" w:color="000000" w:sz="4" w:space="0"/>
            </w:tcBorders>
            <w:vAlign w:val="center"/>
          </w:tcPr>
          <w:p w14:paraId="616811ED">
            <w:pPr>
              <w:widowControl/>
              <w:adjustRightInd/>
              <w:spacing w:line="240" w:lineRule="auto"/>
              <w:jc w:val="left"/>
              <w:rPr>
                <w:rFonts w:hint="default" w:ascii="Times New Roman" w:hAnsi="Times New Roman" w:cs="Times New Roman"/>
                <w:color w:val="000000"/>
                <w:sz w:val="18"/>
                <w:szCs w:val="18"/>
              </w:rPr>
            </w:pPr>
          </w:p>
        </w:tc>
        <w:tc>
          <w:tcPr>
            <w:tcW w:w="302" w:type="pct"/>
            <w:tcBorders>
              <w:top w:val="single" w:color="000000" w:sz="4" w:space="0"/>
              <w:left w:val="nil"/>
              <w:bottom w:val="single" w:color="000000" w:sz="4" w:space="0"/>
              <w:right w:val="single" w:color="000000" w:sz="4" w:space="0"/>
            </w:tcBorders>
            <w:vAlign w:val="center"/>
          </w:tcPr>
          <w:p w14:paraId="70849F51">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中</w:t>
            </w:r>
          </w:p>
        </w:tc>
        <w:tc>
          <w:tcPr>
            <w:tcW w:w="244" w:type="pct"/>
            <w:tcBorders>
              <w:top w:val="single" w:color="000000" w:sz="4" w:space="0"/>
              <w:left w:val="nil"/>
              <w:bottom w:val="single" w:color="000000" w:sz="4" w:space="0"/>
              <w:right w:val="single" w:color="000000" w:sz="4" w:space="0"/>
            </w:tcBorders>
            <w:vAlign w:val="center"/>
          </w:tcPr>
          <w:p w14:paraId="2AE0C7AF">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2.88 </w:t>
            </w:r>
          </w:p>
        </w:tc>
        <w:tc>
          <w:tcPr>
            <w:tcW w:w="294" w:type="pct"/>
            <w:tcBorders>
              <w:top w:val="single" w:color="000000" w:sz="4" w:space="0"/>
              <w:left w:val="nil"/>
              <w:bottom w:val="single" w:color="000000" w:sz="4" w:space="0"/>
              <w:right w:val="single" w:color="000000" w:sz="4" w:space="0"/>
            </w:tcBorders>
            <w:vAlign w:val="center"/>
          </w:tcPr>
          <w:p w14:paraId="0C5955BA">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0.90 </w:t>
            </w:r>
          </w:p>
        </w:tc>
        <w:tc>
          <w:tcPr>
            <w:tcW w:w="268" w:type="pct"/>
            <w:tcBorders>
              <w:top w:val="single" w:color="000000" w:sz="4" w:space="0"/>
              <w:left w:val="nil"/>
              <w:bottom w:val="single" w:color="000000" w:sz="4" w:space="0"/>
              <w:right w:val="single" w:color="000000" w:sz="4" w:space="0"/>
            </w:tcBorders>
            <w:vAlign w:val="center"/>
          </w:tcPr>
          <w:p w14:paraId="5A3A692E">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0.72 </w:t>
            </w:r>
          </w:p>
        </w:tc>
        <w:tc>
          <w:tcPr>
            <w:tcW w:w="332" w:type="pct"/>
            <w:tcBorders>
              <w:top w:val="single" w:color="000000" w:sz="4" w:space="0"/>
              <w:left w:val="nil"/>
              <w:bottom w:val="single" w:color="000000" w:sz="4" w:space="0"/>
              <w:right w:val="single" w:color="000000" w:sz="4" w:space="0"/>
            </w:tcBorders>
            <w:vAlign w:val="center"/>
          </w:tcPr>
          <w:p w14:paraId="0DE1F4C9">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w:t>
            </w:r>
          </w:p>
        </w:tc>
        <w:tc>
          <w:tcPr>
            <w:tcW w:w="264" w:type="pct"/>
            <w:tcBorders>
              <w:top w:val="single" w:color="000000" w:sz="4" w:space="0"/>
              <w:left w:val="nil"/>
              <w:bottom w:val="single" w:color="000000" w:sz="4" w:space="0"/>
              <w:right w:val="single" w:color="000000" w:sz="4" w:space="0"/>
            </w:tcBorders>
            <w:vAlign w:val="center"/>
          </w:tcPr>
          <w:p w14:paraId="30788C27">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2.88 </w:t>
            </w:r>
          </w:p>
        </w:tc>
        <w:tc>
          <w:tcPr>
            <w:tcW w:w="268" w:type="pct"/>
            <w:tcBorders>
              <w:top w:val="single" w:color="000000" w:sz="4" w:space="0"/>
              <w:left w:val="nil"/>
              <w:bottom w:val="single" w:color="000000" w:sz="4" w:space="0"/>
              <w:right w:val="single" w:color="000000" w:sz="4" w:space="0"/>
            </w:tcBorders>
            <w:vAlign w:val="center"/>
          </w:tcPr>
          <w:p w14:paraId="1BA57270">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0.90 </w:t>
            </w:r>
          </w:p>
        </w:tc>
        <w:tc>
          <w:tcPr>
            <w:tcW w:w="306" w:type="pct"/>
            <w:tcBorders>
              <w:top w:val="single" w:color="000000" w:sz="4" w:space="0"/>
              <w:left w:val="nil"/>
              <w:bottom w:val="single" w:color="000000" w:sz="4" w:space="0"/>
              <w:right w:val="single" w:color="000000" w:sz="4" w:space="0"/>
            </w:tcBorders>
            <w:vAlign w:val="center"/>
          </w:tcPr>
          <w:p w14:paraId="3523E3FE">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0.72 </w:t>
            </w:r>
          </w:p>
        </w:tc>
        <w:tc>
          <w:tcPr>
            <w:tcW w:w="485" w:type="pct"/>
            <w:vMerge w:val="continue"/>
            <w:tcBorders>
              <w:top w:val="nil"/>
              <w:left w:val="nil"/>
              <w:bottom w:val="single" w:color="000000" w:sz="4" w:space="0"/>
              <w:right w:val="single" w:color="000000" w:sz="4" w:space="0"/>
            </w:tcBorders>
            <w:vAlign w:val="center"/>
          </w:tcPr>
          <w:p w14:paraId="3CEE4EAE">
            <w:pPr>
              <w:widowControl/>
              <w:adjustRightInd/>
              <w:spacing w:line="240" w:lineRule="auto"/>
              <w:jc w:val="left"/>
              <w:rPr>
                <w:rFonts w:hint="default" w:ascii="Times New Roman" w:hAnsi="Times New Roman" w:cs="Times New Roman"/>
                <w:color w:val="000000"/>
                <w:sz w:val="18"/>
                <w:szCs w:val="18"/>
              </w:rPr>
            </w:pPr>
          </w:p>
        </w:tc>
      </w:tr>
      <w:tr w14:paraId="38154319">
        <w:tblPrEx>
          <w:tblCellMar>
            <w:top w:w="0" w:type="dxa"/>
            <w:left w:w="108" w:type="dxa"/>
            <w:bottom w:w="0" w:type="dxa"/>
            <w:right w:w="108" w:type="dxa"/>
          </w:tblCellMar>
        </w:tblPrEx>
        <w:trPr>
          <w:trHeight w:val="340" w:hRule="atLeast"/>
          <w:jc w:val="center"/>
        </w:trPr>
        <w:tc>
          <w:tcPr>
            <w:tcW w:w="382" w:type="pct"/>
            <w:vMerge w:val="continue"/>
            <w:tcBorders>
              <w:top w:val="nil"/>
              <w:left w:val="single" w:color="000000" w:sz="4" w:space="0"/>
              <w:bottom w:val="single" w:color="000000" w:sz="4" w:space="0"/>
              <w:right w:val="single" w:color="000000" w:sz="4" w:space="0"/>
            </w:tcBorders>
            <w:vAlign w:val="center"/>
          </w:tcPr>
          <w:p w14:paraId="38AA748A">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nil"/>
              <w:left w:val="nil"/>
              <w:bottom w:val="single" w:color="000000" w:sz="4" w:space="0"/>
              <w:right w:val="single" w:color="000000" w:sz="4" w:space="0"/>
            </w:tcBorders>
            <w:vAlign w:val="center"/>
          </w:tcPr>
          <w:p w14:paraId="7E45B748">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nil"/>
              <w:left w:val="nil"/>
              <w:bottom w:val="single" w:color="000000" w:sz="4" w:space="0"/>
              <w:right w:val="single" w:color="000000" w:sz="4" w:space="0"/>
            </w:tcBorders>
            <w:vAlign w:val="center"/>
          </w:tcPr>
          <w:p w14:paraId="53954D9A">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nil"/>
              <w:left w:val="nil"/>
              <w:bottom w:val="single" w:color="000000" w:sz="4" w:space="0"/>
              <w:right w:val="single" w:color="000000" w:sz="4" w:space="0"/>
            </w:tcBorders>
            <w:vAlign w:val="center"/>
          </w:tcPr>
          <w:p w14:paraId="21CEDDF2">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nil"/>
              <w:left w:val="nil"/>
              <w:bottom w:val="single" w:color="000000" w:sz="4" w:space="0"/>
              <w:right w:val="single" w:color="000000" w:sz="4" w:space="0"/>
            </w:tcBorders>
            <w:vAlign w:val="center"/>
          </w:tcPr>
          <w:p w14:paraId="18254DF4">
            <w:pPr>
              <w:widowControl/>
              <w:adjustRightInd/>
              <w:spacing w:line="240" w:lineRule="auto"/>
              <w:jc w:val="left"/>
              <w:rPr>
                <w:rFonts w:hint="default" w:ascii="Times New Roman" w:hAnsi="Times New Roman" w:cs="Times New Roman"/>
                <w:color w:val="000000"/>
                <w:sz w:val="18"/>
                <w:szCs w:val="18"/>
              </w:rPr>
            </w:pPr>
          </w:p>
        </w:tc>
        <w:tc>
          <w:tcPr>
            <w:tcW w:w="302" w:type="pct"/>
            <w:tcBorders>
              <w:top w:val="single" w:color="000000" w:sz="4" w:space="0"/>
              <w:left w:val="nil"/>
              <w:bottom w:val="single" w:color="000000" w:sz="4" w:space="0"/>
              <w:right w:val="single" w:color="000000" w:sz="4" w:space="0"/>
            </w:tcBorders>
            <w:vAlign w:val="center"/>
          </w:tcPr>
          <w:p w14:paraId="6A2C5697">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低</w:t>
            </w:r>
          </w:p>
        </w:tc>
        <w:tc>
          <w:tcPr>
            <w:tcW w:w="244" w:type="pct"/>
            <w:tcBorders>
              <w:top w:val="single" w:color="000000" w:sz="4" w:space="0"/>
              <w:left w:val="nil"/>
              <w:bottom w:val="single" w:color="000000" w:sz="4" w:space="0"/>
              <w:right w:val="single" w:color="000000" w:sz="4" w:space="0"/>
            </w:tcBorders>
            <w:vAlign w:val="center"/>
          </w:tcPr>
          <w:p w14:paraId="4202CD9A">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3.20 </w:t>
            </w:r>
          </w:p>
        </w:tc>
        <w:tc>
          <w:tcPr>
            <w:tcW w:w="294" w:type="pct"/>
            <w:tcBorders>
              <w:top w:val="single" w:color="000000" w:sz="4" w:space="0"/>
              <w:left w:val="nil"/>
              <w:bottom w:val="single" w:color="000000" w:sz="4" w:space="0"/>
              <w:right w:val="single" w:color="000000" w:sz="4" w:space="0"/>
            </w:tcBorders>
            <w:vAlign w:val="center"/>
          </w:tcPr>
          <w:p w14:paraId="0096524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1.00 </w:t>
            </w:r>
          </w:p>
        </w:tc>
        <w:tc>
          <w:tcPr>
            <w:tcW w:w="268" w:type="pct"/>
            <w:tcBorders>
              <w:top w:val="single" w:color="000000" w:sz="4" w:space="0"/>
              <w:left w:val="nil"/>
              <w:bottom w:val="single" w:color="000000" w:sz="4" w:space="0"/>
              <w:right w:val="single" w:color="000000" w:sz="4" w:space="0"/>
            </w:tcBorders>
            <w:vAlign w:val="center"/>
          </w:tcPr>
          <w:p w14:paraId="21DE6221">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0.80 </w:t>
            </w:r>
          </w:p>
        </w:tc>
        <w:tc>
          <w:tcPr>
            <w:tcW w:w="332" w:type="pct"/>
            <w:tcBorders>
              <w:top w:val="single" w:color="000000" w:sz="4" w:space="0"/>
              <w:left w:val="nil"/>
              <w:bottom w:val="single" w:color="000000" w:sz="4" w:space="0"/>
              <w:right w:val="single" w:color="000000" w:sz="4" w:space="0"/>
            </w:tcBorders>
            <w:vAlign w:val="center"/>
          </w:tcPr>
          <w:p w14:paraId="6B674FA6">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w:t>
            </w:r>
          </w:p>
        </w:tc>
        <w:tc>
          <w:tcPr>
            <w:tcW w:w="264" w:type="pct"/>
            <w:tcBorders>
              <w:top w:val="single" w:color="000000" w:sz="4" w:space="0"/>
              <w:left w:val="nil"/>
              <w:bottom w:val="single" w:color="000000" w:sz="4" w:space="0"/>
              <w:right w:val="single" w:color="000000" w:sz="4" w:space="0"/>
            </w:tcBorders>
            <w:vAlign w:val="center"/>
          </w:tcPr>
          <w:p w14:paraId="75677977">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3.20 </w:t>
            </w:r>
          </w:p>
        </w:tc>
        <w:tc>
          <w:tcPr>
            <w:tcW w:w="268" w:type="pct"/>
            <w:tcBorders>
              <w:top w:val="single" w:color="000000" w:sz="4" w:space="0"/>
              <w:left w:val="nil"/>
              <w:bottom w:val="single" w:color="000000" w:sz="4" w:space="0"/>
              <w:right w:val="single" w:color="000000" w:sz="4" w:space="0"/>
            </w:tcBorders>
            <w:vAlign w:val="center"/>
          </w:tcPr>
          <w:p w14:paraId="1DABD0E1">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1.00 </w:t>
            </w:r>
          </w:p>
        </w:tc>
        <w:tc>
          <w:tcPr>
            <w:tcW w:w="306" w:type="pct"/>
            <w:tcBorders>
              <w:top w:val="single" w:color="000000" w:sz="4" w:space="0"/>
              <w:left w:val="nil"/>
              <w:bottom w:val="single" w:color="000000" w:sz="4" w:space="0"/>
              <w:right w:val="single" w:color="000000" w:sz="4" w:space="0"/>
            </w:tcBorders>
            <w:vAlign w:val="center"/>
          </w:tcPr>
          <w:p w14:paraId="63790AF2">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0.80 </w:t>
            </w:r>
          </w:p>
        </w:tc>
        <w:tc>
          <w:tcPr>
            <w:tcW w:w="485" w:type="pct"/>
            <w:vMerge w:val="continue"/>
            <w:tcBorders>
              <w:top w:val="nil"/>
              <w:left w:val="nil"/>
              <w:bottom w:val="single" w:color="000000" w:sz="4" w:space="0"/>
              <w:right w:val="single" w:color="000000" w:sz="4" w:space="0"/>
            </w:tcBorders>
            <w:vAlign w:val="center"/>
          </w:tcPr>
          <w:p w14:paraId="35A5E37F">
            <w:pPr>
              <w:widowControl/>
              <w:adjustRightInd/>
              <w:spacing w:line="240" w:lineRule="auto"/>
              <w:jc w:val="left"/>
              <w:rPr>
                <w:rFonts w:hint="default" w:ascii="Times New Roman" w:hAnsi="Times New Roman" w:cs="Times New Roman"/>
                <w:color w:val="000000"/>
                <w:sz w:val="18"/>
                <w:szCs w:val="18"/>
              </w:rPr>
            </w:pPr>
          </w:p>
        </w:tc>
      </w:tr>
      <w:tr w14:paraId="013E7BD7">
        <w:tblPrEx>
          <w:tblCellMar>
            <w:top w:w="0" w:type="dxa"/>
            <w:left w:w="108" w:type="dxa"/>
            <w:bottom w:w="0" w:type="dxa"/>
            <w:right w:w="108" w:type="dxa"/>
          </w:tblCellMar>
        </w:tblPrEx>
        <w:trPr>
          <w:trHeight w:val="340" w:hRule="atLeast"/>
          <w:jc w:val="center"/>
        </w:trPr>
        <w:tc>
          <w:tcPr>
            <w:tcW w:w="382" w:type="pct"/>
            <w:vMerge w:val="restart"/>
            <w:tcBorders>
              <w:top w:val="nil"/>
              <w:left w:val="single" w:color="000000" w:sz="4" w:space="0"/>
              <w:bottom w:val="single" w:color="000000" w:sz="4" w:space="0"/>
              <w:right w:val="single" w:color="000000" w:sz="4" w:space="0"/>
            </w:tcBorders>
            <w:vAlign w:val="center"/>
          </w:tcPr>
          <w:p w14:paraId="22BBE64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拔节期</w:t>
            </w:r>
          </w:p>
        </w:tc>
        <w:tc>
          <w:tcPr>
            <w:tcW w:w="444" w:type="pct"/>
            <w:vMerge w:val="restart"/>
            <w:tcBorders>
              <w:top w:val="nil"/>
              <w:left w:val="nil"/>
              <w:bottom w:val="single" w:color="000000" w:sz="4" w:space="0"/>
              <w:right w:val="single" w:color="000000" w:sz="4" w:space="0"/>
            </w:tcBorders>
            <w:vAlign w:val="center"/>
          </w:tcPr>
          <w:p w14:paraId="1D7D3317">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6月中旬～7月上旬</w:t>
            </w:r>
          </w:p>
        </w:tc>
        <w:tc>
          <w:tcPr>
            <w:tcW w:w="502" w:type="pct"/>
            <w:vMerge w:val="restart"/>
            <w:tcBorders>
              <w:top w:val="nil"/>
              <w:left w:val="nil"/>
              <w:bottom w:val="single" w:color="000000" w:sz="4" w:space="0"/>
              <w:right w:val="single" w:color="000000" w:sz="4" w:space="0"/>
            </w:tcBorders>
            <w:vAlign w:val="center"/>
          </w:tcPr>
          <w:p w14:paraId="671DCD46">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17～18</w:t>
            </w:r>
          </w:p>
        </w:tc>
        <w:tc>
          <w:tcPr>
            <w:tcW w:w="404" w:type="pct"/>
            <w:vMerge w:val="restart"/>
            <w:tcBorders>
              <w:top w:val="nil"/>
              <w:left w:val="nil"/>
              <w:bottom w:val="single" w:color="000000" w:sz="4" w:space="0"/>
              <w:right w:val="single" w:color="000000" w:sz="4" w:space="0"/>
            </w:tcBorders>
            <w:vAlign w:val="center"/>
          </w:tcPr>
          <w:p w14:paraId="7D58E10D">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3</w:t>
            </w:r>
          </w:p>
        </w:tc>
        <w:tc>
          <w:tcPr>
            <w:tcW w:w="505" w:type="pct"/>
            <w:vMerge w:val="restart"/>
            <w:tcBorders>
              <w:top w:val="nil"/>
              <w:left w:val="nil"/>
              <w:bottom w:val="single" w:color="000000" w:sz="4" w:space="0"/>
              <w:right w:val="single" w:color="000000" w:sz="4" w:space="0"/>
            </w:tcBorders>
            <w:vAlign w:val="center"/>
          </w:tcPr>
          <w:p w14:paraId="55BE9BC5">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51～54</w:t>
            </w:r>
          </w:p>
        </w:tc>
        <w:tc>
          <w:tcPr>
            <w:tcW w:w="302" w:type="pct"/>
            <w:tcBorders>
              <w:top w:val="single" w:color="000000" w:sz="4" w:space="0"/>
              <w:left w:val="nil"/>
              <w:bottom w:val="single" w:color="000000" w:sz="4" w:space="0"/>
              <w:right w:val="single" w:color="000000" w:sz="4" w:space="0"/>
            </w:tcBorders>
            <w:vAlign w:val="center"/>
          </w:tcPr>
          <w:p w14:paraId="0C6AABB6">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高</w:t>
            </w:r>
          </w:p>
        </w:tc>
        <w:tc>
          <w:tcPr>
            <w:tcW w:w="244" w:type="pct"/>
            <w:tcBorders>
              <w:top w:val="single" w:color="000000" w:sz="4" w:space="0"/>
              <w:left w:val="nil"/>
              <w:bottom w:val="single" w:color="000000" w:sz="4" w:space="0"/>
              <w:right w:val="single" w:color="000000" w:sz="4" w:space="0"/>
            </w:tcBorders>
            <w:vAlign w:val="center"/>
          </w:tcPr>
          <w:p w14:paraId="734A221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3</w:t>
            </w:r>
            <w:bookmarkStart w:id="88" w:name="_GoBack"/>
            <w:bookmarkEnd w:id="88"/>
            <w:r>
              <w:rPr>
                <w:rFonts w:hint="default" w:ascii="Times New Roman" w:hAnsi="Times New Roman" w:cs="Times New Roman"/>
                <w:color w:val="000000"/>
                <w:kern w:val="0"/>
                <w:sz w:val="18"/>
                <w:szCs w:val="18"/>
              </w:rPr>
              <w:t xml:space="preserve">.20 </w:t>
            </w:r>
          </w:p>
        </w:tc>
        <w:tc>
          <w:tcPr>
            <w:tcW w:w="294" w:type="pct"/>
            <w:tcBorders>
              <w:top w:val="single" w:color="000000" w:sz="4" w:space="0"/>
              <w:left w:val="nil"/>
              <w:bottom w:val="single" w:color="000000" w:sz="4" w:space="0"/>
              <w:right w:val="single" w:color="000000" w:sz="4" w:space="0"/>
            </w:tcBorders>
            <w:vAlign w:val="center"/>
          </w:tcPr>
          <w:p w14:paraId="7E0B6076">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1.00 </w:t>
            </w:r>
          </w:p>
        </w:tc>
        <w:tc>
          <w:tcPr>
            <w:tcW w:w="268" w:type="pct"/>
            <w:tcBorders>
              <w:top w:val="single" w:color="000000" w:sz="4" w:space="0"/>
              <w:left w:val="nil"/>
              <w:bottom w:val="single" w:color="000000" w:sz="4" w:space="0"/>
              <w:right w:val="single" w:color="000000" w:sz="4" w:space="0"/>
            </w:tcBorders>
            <w:vAlign w:val="center"/>
          </w:tcPr>
          <w:p w14:paraId="15809C69">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0.80 </w:t>
            </w:r>
          </w:p>
        </w:tc>
        <w:tc>
          <w:tcPr>
            <w:tcW w:w="332" w:type="pct"/>
            <w:tcBorders>
              <w:top w:val="single" w:color="000000" w:sz="4" w:space="0"/>
              <w:left w:val="nil"/>
              <w:bottom w:val="single" w:color="000000" w:sz="4" w:space="0"/>
              <w:right w:val="single" w:color="000000" w:sz="4" w:space="0"/>
            </w:tcBorders>
            <w:vAlign w:val="center"/>
          </w:tcPr>
          <w:p w14:paraId="01FD2045">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3</w:t>
            </w:r>
          </w:p>
        </w:tc>
        <w:tc>
          <w:tcPr>
            <w:tcW w:w="264" w:type="pct"/>
            <w:tcBorders>
              <w:top w:val="single" w:color="000000" w:sz="4" w:space="0"/>
              <w:left w:val="nil"/>
              <w:bottom w:val="single" w:color="000000" w:sz="4" w:space="0"/>
              <w:right w:val="single" w:color="000000" w:sz="4" w:space="0"/>
            </w:tcBorders>
            <w:vAlign w:val="center"/>
          </w:tcPr>
          <w:p w14:paraId="66CBAC6A">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9.60 </w:t>
            </w:r>
          </w:p>
        </w:tc>
        <w:tc>
          <w:tcPr>
            <w:tcW w:w="268" w:type="pct"/>
            <w:tcBorders>
              <w:top w:val="single" w:color="000000" w:sz="4" w:space="0"/>
              <w:left w:val="nil"/>
              <w:bottom w:val="single" w:color="000000" w:sz="4" w:space="0"/>
              <w:right w:val="single" w:color="000000" w:sz="4" w:space="0"/>
            </w:tcBorders>
            <w:vAlign w:val="center"/>
          </w:tcPr>
          <w:p w14:paraId="2EA244F0">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3.00 </w:t>
            </w:r>
          </w:p>
        </w:tc>
        <w:tc>
          <w:tcPr>
            <w:tcW w:w="306" w:type="pct"/>
            <w:tcBorders>
              <w:top w:val="single" w:color="000000" w:sz="4" w:space="0"/>
              <w:left w:val="nil"/>
              <w:bottom w:val="single" w:color="000000" w:sz="4" w:space="0"/>
              <w:right w:val="single" w:color="000000" w:sz="4" w:space="0"/>
            </w:tcBorders>
            <w:vAlign w:val="center"/>
          </w:tcPr>
          <w:p w14:paraId="223B8148">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2.40 </w:t>
            </w:r>
          </w:p>
        </w:tc>
        <w:tc>
          <w:tcPr>
            <w:tcW w:w="485" w:type="pct"/>
            <w:vMerge w:val="continue"/>
            <w:tcBorders>
              <w:top w:val="nil"/>
              <w:left w:val="nil"/>
              <w:bottom w:val="single" w:color="000000" w:sz="4" w:space="0"/>
              <w:right w:val="single" w:color="000000" w:sz="4" w:space="0"/>
            </w:tcBorders>
            <w:vAlign w:val="center"/>
          </w:tcPr>
          <w:p w14:paraId="5FDB75AE">
            <w:pPr>
              <w:widowControl/>
              <w:adjustRightInd/>
              <w:spacing w:line="240" w:lineRule="auto"/>
              <w:jc w:val="left"/>
              <w:rPr>
                <w:rFonts w:hint="default" w:ascii="Times New Roman" w:hAnsi="Times New Roman" w:cs="Times New Roman"/>
                <w:color w:val="000000"/>
                <w:sz w:val="18"/>
                <w:szCs w:val="18"/>
              </w:rPr>
            </w:pPr>
          </w:p>
        </w:tc>
      </w:tr>
      <w:tr w14:paraId="2FCA24D4">
        <w:tblPrEx>
          <w:tblCellMar>
            <w:top w:w="0" w:type="dxa"/>
            <w:left w:w="108" w:type="dxa"/>
            <w:bottom w:w="0" w:type="dxa"/>
            <w:right w:w="108" w:type="dxa"/>
          </w:tblCellMar>
        </w:tblPrEx>
        <w:trPr>
          <w:trHeight w:val="340" w:hRule="atLeast"/>
          <w:jc w:val="center"/>
        </w:trPr>
        <w:tc>
          <w:tcPr>
            <w:tcW w:w="382" w:type="pct"/>
            <w:vMerge w:val="continue"/>
            <w:tcBorders>
              <w:top w:val="nil"/>
              <w:left w:val="single" w:color="000000" w:sz="4" w:space="0"/>
              <w:bottom w:val="single" w:color="000000" w:sz="4" w:space="0"/>
              <w:right w:val="single" w:color="000000" w:sz="4" w:space="0"/>
            </w:tcBorders>
            <w:vAlign w:val="center"/>
          </w:tcPr>
          <w:p w14:paraId="5521A299">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nil"/>
              <w:left w:val="nil"/>
              <w:bottom w:val="single" w:color="000000" w:sz="4" w:space="0"/>
              <w:right w:val="single" w:color="000000" w:sz="4" w:space="0"/>
            </w:tcBorders>
            <w:vAlign w:val="center"/>
          </w:tcPr>
          <w:p w14:paraId="0667A9F8">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nil"/>
              <w:left w:val="nil"/>
              <w:bottom w:val="single" w:color="000000" w:sz="4" w:space="0"/>
              <w:right w:val="single" w:color="000000" w:sz="4" w:space="0"/>
            </w:tcBorders>
            <w:vAlign w:val="center"/>
          </w:tcPr>
          <w:p w14:paraId="51F03AA0">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nil"/>
              <w:left w:val="nil"/>
              <w:bottom w:val="single" w:color="000000" w:sz="4" w:space="0"/>
              <w:right w:val="single" w:color="000000" w:sz="4" w:space="0"/>
            </w:tcBorders>
            <w:vAlign w:val="center"/>
          </w:tcPr>
          <w:p w14:paraId="0805FA6C">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nil"/>
              <w:left w:val="nil"/>
              <w:bottom w:val="single" w:color="000000" w:sz="4" w:space="0"/>
              <w:right w:val="single" w:color="000000" w:sz="4" w:space="0"/>
            </w:tcBorders>
            <w:vAlign w:val="center"/>
          </w:tcPr>
          <w:p w14:paraId="6864C318">
            <w:pPr>
              <w:widowControl/>
              <w:adjustRightInd/>
              <w:spacing w:line="240" w:lineRule="auto"/>
              <w:jc w:val="left"/>
              <w:rPr>
                <w:rFonts w:hint="default" w:ascii="Times New Roman" w:hAnsi="Times New Roman" w:cs="Times New Roman"/>
                <w:color w:val="000000"/>
                <w:sz w:val="18"/>
                <w:szCs w:val="18"/>
              </w:rPr>
            </w:pPr>
          </w:p>
        </w:tc>
        <w:tc>
          <w:tcPr>
            <w:tcW w:w="302" w:type="pct"/>
            <w:tcBorders>
              <w:top w:val="single" w:color="000000" w:sz="4" w:space="0"/>
              <w:left w:val="nil"/>
              <w:bottom w:val="single" w:color="000000" w:sz="4" w:space="0"/>
              <w:right w:val="single" w:color="000000" w:sz="4" w:space="0"/>
            </w:tcBorders>
            <w:vAlign w:val="center"/>
          </w:tcPr>
          <w:p w14:paraId="7C9D62F5">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中</w:t>
            </w:r>
          </w:p>
        </w:tc>
        <w:tc>
          <w:tcPr>
            <w:tcW w:w="244" w:type="pct"/>
            <w:tcBorders>
              <w:top w:val="single" w:color="000000" w:sz="4" w:space="0"/>
              <w:left w:val="nil"/>
              <w:bottom w:val="single" w:color="000000" w:sz="4" w:space="0"/>
              <w:right w:val="single" w:color="000000" w:sz="4" w:space="0"/>
            </w:tcBorders>
            <w:vAlign w:val="center"/>
          </w:tcPr>
          <w:p w14:paraId="3CEA38C8">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3.52 </w:t>
            </w:r>
          </w:p>
        </w:tc>
        <w:tc>
          <w:tcPr>
            <w:tcW w:w="294" w:type="pct"/>
            <w:tcBorders>
              <w:top w:val="single" w:color="000000" w:sz="4" w:space="0"/>
              <w:left w:val="nil"/>
              <w:bottom w:val="single" w:color="000000" w:sz="4" w:space="0"/>
              <w:right w:val="single" w:color="000000" w:sz="4" w:space="0"/>
            </w:tcBorders>
            <w:vAlign w:val="center"/>
          </w:tcPr>
          <w:p w14:paraId="00911A2A">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1.10 </w:t>
            </w:r>
          </w:p>
        </w:tc>
        <w:tc>
          <w:tcPr>
            <w:tcW w:w="268" w:type="pct"/>
            <w:tcBorders>
              <w:top w:val="single" w:color="000000" w:sz="4" w:space="0"/>
              <w:left w:val="nil"/>
              <w:bottom w:val="single" w:color="000000" w:sz="4" w:space="0"/>
              <w:right w:val="single" w:color="000000" w:sz="4" w:space="0"/>
            </w:tcBorders>
            <w:vAlign w:val="center"/>
          </w:tcPr>
          <w:p w14:paraId="59A57800">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0.88 </w:t>
            </w:r>
          </w:p>
        </w:tc>
        <w:tc>
          <w:tcPr>
            <w:tcW w:w="332" w:type="pct"/>
            <w:tcBorders>
              <w:top w:val="single" w:color="000000" w:sz="4" w:space="0"/>
              <w:left w:val="nil"/>
              <w:bottom w:val="single" w:color="000000" w:sz="4" w:space="0"/>
              <w:right w:val="single" w:color="000000" w:sz="4" w:space="0"/>
            </w:tcBorders>
            <w:vAlign w:val="center"/>
          </w:tcPr>
          <w:p w14:paraId="3BF9816D">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3</w:t>
            </w:r>
          </w:p>
        </w:tc>
        <w:tc>
          <w:tcPr>
            <w:tcW w:w="264" w:type="pct"/>
            <w:tcBorders>
              <w:top w:val="single" w:color="000000" w:sz="4" w:space="0"/>
              <w:left w:val="nil"/>
              <w:bottom w:val="single" w:color="000000" w:sz="4" w:space="0"/>
              <w:right w:val="single" w:color="000000" w:sz="4" w:space="0"/>
            </w:tcBorders>
            <w:vAlign w:val="center"/>
          </w:tcPr>
          <w:p w14:paraId="6DE70757">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10.56 </w:t>
            </w:r>
          </w:p>
        </w:tc>
        <w:tc>
          <w:tcPr>
            <w:tcW w:w="268" w:type="pct"/>
            <w:tcBorders>
              <w:top w:val="single" w:color="000000" w:sz="4" w:space="0"/>
              <w:left w:val="nil"/>
              <w:bottom w:val="single" w:color="000000" w:sz="4" w:space="0"/>
              <w:right w:val="single" w:color="000000" w:sz="4" w:space="0"/>
            </w:tcBorders>
            <w:vAlign w:val="center"/>
          </w:tcPr>
          <w:p w14:paraId="53117F27">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3.30 </w:t>
            </w:r>
          </w:p>
        </w:tc>
        <w:tc>
          <w:tcPr>
            <w:tcW w:w="306" w:type="pct"/>
            <w:tcBorders>
              <w:top w:val="single" w:color="000000" w:sz="4" w:space="0"/>
              <w:left w:val="nil"/>
              <w:bottom w:val="single" w:color="000000" w:sz="4" w:space="0"/>
              <w:right w:val="single" w:color="000000" w:sz="4" w:space="0"/>
            </w:tcBorders>
            <w:vAlign w:val="center"/>
          </w:tcPr>
          <w:p w14:paraId="6147E065">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2.64 </w:t>
            </w:r>
          </w:p>
        </w:tc>
        <w:tc>
          <w:tcPr>
            <w:tcW w:w="485" w:type="pct"/>
            <w:vMerge w:val="continue"/>
            <w:tcBorders>
              <w:top w:val="nil"/>
              <w:left w:val="nil"/>
              <w:bottom w:val="single" w:color="000000" w:sz="4" w:space="0"/>
              <w:right w:val="single" w:color="000000" w:sz="4" w:space="0"/>
            </w:tcBorders>
            <w:vAlign w:val="center"/>
          </w:tcPr>
          <w:p w14:paraId="1D786BBE">
            <w:pPr>
              <w:widowControl/>
              <w:adjustRightInd/>
              <w:spacing w:line="240" w:lineRule="auto"/>
              <w:jc w:val="left"/>
              <w:rPr>
                <w:rFonts w:hint="default" w:ascii="Times New Roman" w:hAnsi="Times New Roman" w:cs="Times New Roman"/>
                <w:color w:val="000000"/>
                <w:sz w:val="18"/>
                <w:szCs w:val="18"/>
              </w:rPr>
            </w:pPr>
          </w:p>
        </w:tc>
      </w:tr>
      <w:tr w14:paraId="7DD4C443">
        <w:tblPrEx>
          <w:tblCellMar>
            <w:top w:w="0" w:type="dxa"/>
            <w:left w:w="108" w:type="dxa"/>
            <w:bottom w:w="0" w:type="dxa"/>
            <w:right w:w="108" w:type="dxa"/>
          </w:tblCellMar>
        </w:tblPrEx>
        <w:trPr>
          <w:trHeight w:val="340" w:hRule="atLeast"/>
          <w:jc w:val="center"/>
        </w:trPr>
        <w:tc>
          <w:tcPr>
            <w:tcW w:w="382" w:type="pct"/>
            <w:vMerge w:val="continue"/>
            <w:tcBorders>
              <w:top w:val="nil"/>
              <w:left w:val="single" w:color="000000" w:sz="4" w:space="0"/>
              <w:bottom w:val="single" w:color="000000" w:sz="4" w:space="0"/>
              <w:right w:val="single" w:color="000000" w:sz="4" w:space="0"/>
            </w:tcBorders>
            <w:vAlign w:val="center"/>
          </w:tcPr>
          <w:p w14:paraId="78F39375">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nil"/>
              <w:left w:val="nil"/>
              <w:bottom w:val="single" w:color="000000" w:sz="4" w:space="0"/>
              <w:right w:val="single" w:color="000000" w:sz="4" w:space="0"/>
            </w:tcBorders>
            <w:vAlign w:val="center"/>
          </w:tcPr>
          <w:p w14:paraId="336CE36B">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nil"/>
              <w:left w:val="nil"/>
              <w:bottom w:val="single" w:color="000000" w:sz="4" w:space="0"/>
              <w:right w:val="single" w:color="000000" w:sz="4" w:space="0"/>
            </w:tcBorders>
            <w:vAlign w:val="center"/>
          </w:tcPr>
          <w:p w14:paraId="735D59B5">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nil"/>
              <w:left w:val="nil"/>
              <w:bottom w:val="single" w:color="000000" w:sz="4" w:space="0"/>
              <w:right w:val="single" w:color="000000" w:sz="4" w:space="0"/>
            </w:tcBorders>
            <w:vAlign w:val="center"/>
          </w:tcPr>
          <w:p w14:paraId="5F476CCA">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nil"/>
              <w:left w:val="nil"/>
              <w:bottom w:val="single" w:color="000000" w:sz="4" w:space="0"/>
              <w:right w:val="single" w:color="000000" w:sz="4" w:space="0"/>
            </w:tcBorders>
            <w:vAlign w:val="center"/>
          </w:tcPr>
          <w:p w14:paraId="52255AEC">
            <w:pPr>
              <w:widowControl/>
              <w:adjustRightInd/>
              <w:spacing w:line="240" w:lineRule="auto"/>
              <w:jc w:val="left"/>
              <w:rPr>
                <w:rFonts w:hint="default" w:ascii="Times New Roman" w:hAnsi="Times New Roman" w:cs="Times New Roman"/>
                <w:color w:val="000000"/>
                <w:sz w:val="18"/>
                <w:szCs w:val="18"/>
              </w:rPr>
            </w:pPr>
          </w:p>
        </w:tc>
        <w:tc>
          <w:tcPr>
            <w:tcW w:w="302" w:type="pct"/>
            <w:tcBorders>
              <w:top w:val="single" w:color="000000" w:sz="4" w:space="0"/>
              <w:left w:val="nil"/>
              <w:bottom w:val="single" w:color="000000" w:sz="4" w:space="0"/>
              <w:right w:val="single" w:color="000000" w:sz="4" w:space="0"/>
            </w:tcBorders>
            <w:vAlign w:val="center"/>
          </w:tcPr>
          <w:p w14:paraId="7E1DEBE5">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低</w:t>
            </w:r>
          </w:p>
        </w:tc>
        <w:tc>
          <w:tcPr>
            <w:tcW w:w="244" w:type="pct"/>
            <w:tcBorders>
              <w:top w:val="single" w:color="000000" w:sz="4" w:space="0"/>
              <w:left w:val="nil"/>
              <w:bottom w:val="single" w:color="000000" w:sz="4" w:space="0"/>
              <w:right w:val="single" w:color="000000" w:sz="4" w:space="0"/>
            </w:tcBorders>
            <w:vAlign w:val="center"/>
          </w:tcPr>
          <w:p w14:paraId="5CEF9A10">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3.84 </w:t>
            </w:r>
          </w:p>
        </w:tc>
        <w:tc>
          <w:tcPr>
            <w:tcW w:w="294" w:type="pct"/>
            <w:tcBorders>
              <w:top w:val="single" w:color="000000" w:sz="4" w:space="0"/>
              <w:left w:val="nil"/>
              <w:bottom w:val="single" w:color="000000" w:sz="4" w:space="0"/>
              <w:right w:val="single" w:color="000000" w:sz="4" w:space="0"/>
            </w:tcBorders>
            <w:vAlign w:val="center"/>
          </w:tcPr>
          <w:p w14:paraId="6EF64AFA">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1.20 </w:t>
            </w:r>
          </w:p>
        </w:tc>
        <w:tc>
          <w:tcPr>
            <w:tcW w:w="268" w:type="pct"/>
            <w:tcBorders>
              <w:top w:val="single" w:color="000000" w:sz="4" w:space="0"/>
              <w:left w:val="nil"/>
              <w:bottom w:val="single" w:color="000000" w:sz="4" w:space="0"/>
              <w:right w:val="single" w:color="000000" w:sz="4" w:space="0"/>
            </w:tcBorders>
            <w:vAlign w:val="center"/>
          </w:tcPr>
          <w:p w14:paraId="79A739A0">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0.96 </w:t>
            </w:r>
          </w:p>
        </w:tc>
        <w:tc>
          <w:tcPr>
            <w:tcW w:w="332" w:type="pct"/>
            <w:tcBorders>
              <w:top w:val="single" w:color="000000" w:sz="4" w:space="0"/>
              <w:left w:val="nil"/>
              <w:bottom w:val="single" w:color="000000" w:sz="4" w:space="0"/>
              <w:right w:val="single" w:color="000000" w:sz="4" w:space="0"/>
            </w:tcBorders>
            <w:vAlign w:val="center"/>
          </w:tcPr>
          <w:p w14:paraId="1F5AA30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3</w:t>
            </w:r>
          </w:p>
        </w:tc>
        <w:tc>
          <w:tcPr>
            <w:tcW w:w="264" w:type="pct"/>
            <w:tcBorders>
              <w:top w:val="single" w:color="000000" w:sz="4" w:space="0"/>
              <w:left w:val="nil"/>
              <w:bottom w:val="single" w:color="000000" w:sz="4" w:space="0"/>
              <w:right w:val="single" w:color="000000" w:sz="4" w:space="0"/>
            </w:tcBorders>
            <w:vAlign w:val="center"/>
          </w:tcPr>
          <w:p w14:paraId="732D9078">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11.52 </w:t>
            </w:r>
          </w:p>
        </w:tc>
        <w:tc>
          <w:tcPr>
            <w:tcW w:w="268" w:type="pct"/>
            <w:tcBorders>
              <w:top w:val="single" w:color="000000" w:sz="4" w:space="0"/>
              <w:left w:val="nil"/>
              <w:bottom w:val="single" w:color="000000" w:sz="4" w:space="0"/>
              <w:right w:val="single" w:color="000000" w:sz="4" w:space="0"/>
            </w:tcBorders>
            <w:vAlign w:val="center"/>
          </w:tcPr>
          <w:p w14:paraId="360C43A1">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3.60 </w:t>
            </w:r>
          </w:p>
        </w:tc>
        <w:tc>
          <w:tcPr>
            <w:tcW w:w="306" w:type="pct"/>
            <w:tcBorders>
              <w:top w:val="single" w:color="000000" w:sz="4" w:space="0"/>
              <w:left w:val="nil"/>
              <w:bottom w:val="single" w:color="000000" w:sz="4" w:space="0"/>
              <w:right w:val="single" w:color="000000" w:sz="4" w:space="0"/>
            </w:tcBorders>
            <w:vAlign w:val="center"/>
          </w:tcPr>
          <w:p w14:paraId="0F8B5108">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2.88 </w:t>
            </w:r>
          </w:p>
        </w:tc>
        <w:tc>
          <w:tcPr>
            <w:tcW w:w="485" w:type="pct"/>
            <w:vMerge w:val="continue"/>
            <w:tcBorders>
              <w:top w:val="nil"/>
              <w:left w:val="nil"/>
              <w:bottom w:val="single" w:color="000000" w:sz="4" w:space="0"/>
              <w:right w:val="single" w:color="000000" w:sz="4" w:space="0"/>
            </w:tcBorders>
            <w:vAlign w:val="center"/>
          </w:tcPr>
          <w:p w14:paraId="6EB055B4">
            <w:pPr>
              <w:widowControl/>
              <w:adjustRightInd/>
              <w:spacing w:line="240" w:lineRule="auto"/>
              <w:jc w:val="left"/>
              <w:rPr>
                <w:rFonts w:hint="default" w:ascii="Times New Roman" w:hAnsi="Times New Roman" w:cs="Times New Roman"/>
                <w:color w:val="000000"/>
                <w:sz w:val="18"/>
                <w:szCs w:val="18"/>
              </w:rPr>
            </w:pPr>
          </w:p>
        </w:tc>
      </w:tr>
      <w:tr w14:paraId="04CCB9FB">
        <w:tblPrEx>
          <w:tblCellMar>
            <w:top w:w="0" w:type="dxa"/>
            <w:left w:w="108" w:type="dxa"/>
            <w:bottom w:w="0" w:type="dxa"/>
            <w:right w:w="108" w:type="dxa"/>
          </w:tblCellMar>
        </w:tblPrEx>
        <w:trPr>
          <w:trHeight w:val="340" w:hRule="atLeast"/>
          <w:jc w:val="center"/>
        </w:trPr>
        <w:tc>
          <w:tcPr>
            <w:tcW w:w="382" w:type="pct"/>
            <w:vMerge w:val="restart"/>
            <w:tcBorders>
              <w:top w:val="nil"/>
              <w:left w:val="single" w:color="000000" w:sz="4" w:space="0"/>
              <w:bottom w:val="single" w:color="000000" w:sz="4" w:space="0"/>
              <w:right w:val="single" w:color="000000" w:sz="4" w:space="0"/>
            </w:tcBorders>
            <w:vAlign w:val="center"/>
          </w:tcPr>
          <w:p w14:paraId="667A3181">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抽雄吐丝期~灌浆期</w:t>
            </w:r>
          </w:p>
        </w:tc>
        <w:tc>
          <w:tcPr>
            <w:tcW w:w="444" w:type="pct"/>
            <w:vMerge w:val="restart"/>
            <w:tcBorders>
              <w:top w:val="nil"/>
              <w:left w:val="nil"/>
              <w:bottom w:val="single" w:color="000000" w:sz="4" w:space="0"/>
              <w:right w:val="single" w:color="000000" w:sz="4" w:space="0"/>
            </w:tcBorders>
            <w:vAlign w:val="center"/>
          </w:tcPr>
          <w:p w14:paraId="78CA02BE">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7月中旬～8月下旬</w:t>
            </w:r>
          </w:p>
        </w:tc>
        <w:tc>
          <w:tcPr>
            <w:tcW w:w="502" w:type="pct"/>
            <w:vMerge w:val="restart"/>
            <w:tcBorders>
              <w:top w:val="nil"/>
              <w:left w:val="nil"/>
              <w:bottom w:val="single" w:color="000000" w:sz="4" w:space="0"/>
              <w:right w:val="single" w:color="000000" w:sz="4" w:space="0"/>
            </w:tcBorders>
            <w:vAlign w:val="center"/>
          </w:tcPr>
          <w:p w14:paraId="78D82DE7">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18～20</w:t>
            </w:r>
          </w:p>
        </w:tc>
        <w:tc>
          <w:tcPr>
            <w:tcW w:w="404" w:type="pct"/>
            <w:vMerge w:val="restart"/>
            <w:tcBorders>
              <w:top w:val="nil"/>
              <w:left w:val="nil"/>
              <w:bottom w:val="single" w:color="000000" w:sz="4" w:space="0"/>
              <w:right w:val="single" w:color="000000" w:sz="4" w:space="0"/>
            </w:tcBorders>
            <w:vAlign w:val="center"/>
          </w:tcPr>
          <w:p w14:paraId="1865F2ED">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5</w:t>
            </w:r>
          </w:p>
        </w:tc>
        <w:tc>
          <w:tcPr>
            <w:tcW w:w="505" w:type="pct"/>
            <w:vMerge w:val="restart"/>
            <w:tcBorders>
              <w:top w:val="nil"/>
              <w:left w:val="nil"/>
              <w:bottom w:val="single" w:color="000000" w:sz="4" w:space="0"/>
              <w:right w:val="single" w:color="000000" w:sz="4" w:space="0"/>
            </w:tcBorders>
            <w:vAlign w:val="center"/>
          </w:tcPr>
          <w:p w14:paraId="1A253941">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90～100</w:t>
            </w:r>
          </w:p>
        </w:tc>
        <w:tc>
          <w:tcPr>
            <w:tcW w:w="302" w:type="pct"/>
            <w:tcBorders>
              <w:top w:val="single" w:color="000000" w:sz="4" w:space="0"/>
              <w:left w:val="nil"/>
              <w:bottom w:val="single" w:color="000000" w:sz="4" w:space="0"/>
              <w:right w:val="single" w:color="000000" w:sz="4" w:space="0"/>
            </w:tcBorders>
            <w:vAlign w:val="center"/>
          </w:tcPr>
          <w:p w14:paraId="21122D36">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高</w:t>
            </w:r>
          </w:p>
        </w:tc>
        <w:tc>
          <w:tcPr>
            <w:tcW w:w="244" w:type="pct"/>
            <w:tcBorders>
              <w:top w:val="single" w:color="000000" w:sz="4" w:space="0"/>
              <w:left w:val="nil"/>
              <w:bottom w:val="single" w:color="000000" w:sz="4" w:space="0"/>
              <w:right w:val="single" w:color="000000" w:sz="4" w:space="0"/>
            </w:tcBorders>
            <w:vAlign w:val="center"/>
          </w:tcPr>
          <w:p w14:paraId="515D25BE">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2.00 </w:t>
            </w:r>
          </w:p>
        </w:tc>
        <w:tc>
          <w:tcPr>
            <w:tcW w:w="294" w:type="pct"/>
            <w:tcBorders>
              <w:top w:val="single" w:color="000000" w:sz="4" w:space="0"/>
              <w:left w:val="nil"/>
              <w:bottom w:val="single" w:color="000000" w:sz="4" w:space="0"/>
              <w:right w:val="single" w:color="000000" w:sz="4" w:space="0"/>
            </w:tcBorders>
            <w:vAlign w:val="center"/>
          </w:tcPr>
          <w:p w14:paraId="7D7DBB8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0.80 </w:t>
            </w:r>
          </w:p>
        </w:tc>
        <w:tc>
          <w:tcPr>
            <w:tcW w:w="268" w:type="pct"/>
            <w:tcBorders>
              <w:top w:val="single" w:color="000000" w:sz="4" w:space="0"/>
              <w:left w:val="nil"/>
              <w:bottom w:val="single" w:color="000000" w:sz="4" w:space="0"/>
              <w:right w:val="single" w:color="000000" w:sz="4" w:space="0"/>
            </w:tcBorders>
            <w:vAlign w:val="center"/>
          </w:tcPr>
          <w:p w14:paraId="5B90B550">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1.20 </w:t>
            </w:r>
          </w:p>
        </w:tc>
        <w:tc>
          <w:tcPr>
            <w:tcW w:w="332" w:type="pct"/>
            <w:tcBorders>
              <w:top w:val="single" w:color="000000" w:sz="4" w:space="0"/>
              <w:left w:val="nil"/>
              <w:bottom w:val="single" w:color="000000" w:sz="4" w:space="0"/>
              <w:right w:val="single" w:color="000000" w:sz="4" w:space="0"/>
            </w:tcBorders>
            <w:vAlign w:val="center"/>
          </w:tcPr>
          <w:p w14:paraId="5988949A">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5</w:t>
            </w:r>
          </w:p>
        </w:tc>
        <w:tc>
          <w:tcPr>
            <w:tcW w:w="264" w:type="pct"/>
            <w:tcBorders>
              <w:top w:val="single" w:color="000000" w:sz="4" w:space="0"/>
              <w:left w:val="nil"/>
              <w:bottom w:val="single" w:color="000000" w:sz="4" w:space="0"/>
              <w:right w:val="single" w:color="000000" w:sz="4" w:space="0"/>
            </w:tcBorders>
            <w:vAlign w:val="center"/>
          </w:tcPr>
          <w:p w14:paraId="67B9D047">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10.00 </w:t>
            </w:r>
          </w:p>
        </w:tc>
        <w:tc>
          <w:tcPr>
            <w:tcW w:w="268" w:type="pct"/>
            <w:tcBorders>
              <w:top w:val="single" w:color="000000" w:sz="4" w:space="0"/>
              <w:left w:val="nil"/>
              <w:bottom w:val="single" w:color="000000" w:sz="4" w:space="0"/>
              <w:right w:val="single" w:color="000000" w:sz="4" w:space="0"/>
            </w:tcBorders>
            <w:vAlign w:val="center"/>
          </w:tcPr>
          <w:p w14:paraId="5E78290E">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4.00 </w:t>
            </w:r>
          </w:p>
        </w:tc>
        <w:tc>
          <w:tcPr>
            <w:tcW w:w="306" w:type="pct"/>
            <w:tcBorders>
              <w:top w:val="single" w:color="000000" w:sz="4" w:space="0"/>
              <w:left w:val="nil"/>
              <w:bottom w:val="single" w:color="000000" w:sz="4" w:space="0"/>
              <w:right w:val="single" w:color="000000" w:sz="4" w:space="0"/>
            </w:tcBorders>
            <w:vAlign w:val="center"/>
          </w:tcPr>
          <w:p w14:paraId="42CBE231">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6.00 </w:t>
            </w:r>
          </w:p>
        </w:tc>
        <w:tc>
          <w:tcPr>
            <w:tcW w:w="485" w:type="pct"/>
            <w:vMerge w:val="continue"/>
            <w:tcBorders>
              <w:top w:val="nil"/>
              <w:left w:val="nil"/>
              <w:bottom w:val="single" w:color="000000" w:sz="4" w:space="0"/>
              <w:right w:val="single" w:color="000000" w:sz="4" w:space="0"/>
            </w:tcBorders>
            <w:vAlign w:val="center"/>
          </w:tcPr>
          <w:p w14:paraId="22B13F0E">
            <w:pPr>
              <w:widowControl/>
              <w:adjustRightInd/>
              <w:spacing w:line="240" w:lineRule="auto"/>
              <w:jc w:val="left"/>
              <w:rPr>
                <w:rFonts w:hint="default" w:ascii="Times New Roman" w:hAnsi="Times New Roman" w:cs="Times New Roman"/>
                <w:color w:val="000000"/>
                <w:sz w:val="18"/>
                <w:szCs w:val="18"/>
              </w:rPr>
            </w:pPr>
          </w:p>
        </w:tc>
      </w:tr>
      <w:tr w14:paraId="11CC6F61">
        <w:tblPrEx>
          <w:tblCellMar>
            <w:top w:w="0" w:type="dxa"/>
            <w:left w:w="108" w:type="dxa"/>
            <w:bottom w:w="0" w:type="dxa"/>
            <w:right w:w="108" w:type="dxa"/>
          </w:tblCellMar>
        </w:tblPrEx>
        <w:trPr>
          <w:trHeight w:val="340" w:hRule="atLeast"/>
          <w:jc w:val="center"/>
        </w:trPr>
        <w:tc>
          <w:tcPr>
            <w:tcW w:w="382" w:type="pct"/>
            <w:vMerge w:val="continue"/>
            <w:tcBorders>
              <w:top w:val="nil"/>
              <w:left w:val="single" w:color="000000" w:sz="4" w:space="0"/>
              <w:bottom w:val="single" w:color="000000" w:sz="4" w:space="0"/>
              <w:right w:val="single" w:color="000000" w:sz="4" w:space="0"/>
            </w:tcBorders>
            <w:vAlign w:val="center"/>
          </w:tcPr>
          <w:p w14:paraId="3D078702">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nil"/>
              <w:left w:val="nil"/>
              <w:bottom w:val="single" w:color="000000" w:sz="4" w:space="0"/>
              <w:right w:val="single" w:color="000000" w:sz="4" w:space="0"/>
            </w:tcBorders>
            <w:vAlign w:val="center"/>
          </w:tcPr>
          <w:p w14:paraId="64D333BD">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nil"/>
              <w:left w:val="nil"/>
              <w:bottom w:val="single" w:color="000000" w:sz="4" w:space="0"/>
              <w:right w:val="single" w:color="000000" w:sz="4" w:space="0"/>
            </w:tcBorders>
            <w:vAlign w:val="center"/>
          </w:tcPr>
          <w:p w14:paraId="1574B59A">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nil"/>
              <w:left w:val="nil"/>
              <w:bottom w:val="single" w:color="000000" w:sz="4" w:space="0"/>
              <w:right w:val="single" w:color="000000" w:sz="4" w:space="0"/>
            </w:tcBorders>
            <w:vAlign w:val="center"/>
          </w:tcPr>
          <w:p w14:paraId="3967838D">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nil"/>
              <w:left w:val="nil"/>
              <w:bottom w:val="single" w:color="000000" w:sz="4" w:space="0"/>
              <w:right w:val="single" w:color="000000" w:sz="4" w:space="0"/>
            </w:tcBorders>
            <w:vAlign w:val="center"/>
          </w:tcPr>
          <w:p w14:paraId="532E9150">
            <w:pPr>
              <w:widowControl/>
              <w:adjustRightInd/>
              <w:spacing w:line="240" w:lineRule="auto"/>
              <w:jc w:val="left"/>
              <w:rPr>
                <w:rFonts w:hint="default" w:ascii="Times New Roman" w:hAnsi="Times New Roman" w:cs="Times New Roman"/>
                <w:color w:val="000000"/>
                <w:sz w:val="18"/>
                <w:szCs w:val="18"/>
              </w:rPr>
            </w:pPr>
          </w:p>
        </w:tc>
        <w:tc>
          <w:tcPr>
            <w:tcW w:w="302" w:type="pct"/>
            <w:tcBorders>
              <w:top w:val="single" w:color="000000" w:sz="4" w:space="0"/>
              <w:left w:val="nil"/>
              <w:bottom w:val="single" w:color="000000" w:sz="4" w:space="0"/>
              <w:right w:val="single" w:color="000000" w:sz="4" w:space="0"/>
            </w:tcBorders>
            <w:vAlign w:val="center"/>
          </w:tcPr>
          <w:p w14:paraId="3C8982C7">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中</w:t>
            </w:r>
          </w:p>
        </w:tc>
        <w:tc>
          <w:tcPr>
            <w:tcW w:w="244" w:type="pct"/>
            <w:tcBorders>
              <w:top w:val="single" w:color="000000" w:sz="4" w:space="0"/>
              <w:left w:val="nil"/>
              <w:bottom w:val="single" w:color="000000" w:sz="4" w:space="0"/>
              <w:right w:val="single" w:color="000000" w:sz="4" w:space="0"/>
            </w:tcBorders>
            <w:vAlign w:val="center"/>
          </w:tcPr>
          <w:p w14:paraId="026AE889">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2.25 </w:t>
            </w:r>
          </w:p>
        </w:tc>
        <w:tc>
          <w:tcPr>
            <w:tcW w:w="294" w:type="pct"/>
            <w:tcBorders>
              <w:top w:val="single" w:color="000000" w:sz="4" w:space="0"/>
              <w:left w:val="nil"/>
              <w:bottom w:val="single" w:color="000000" w:sz="4" w:space="0"/>
              <w:right w:val="single" w:color="000000" w:sz="4" w:space="0"/>
            </w:tcBorders>
            <w:vAlign w:val="center"/>
          </w:tcPr>
          <w:p w14:paraId="5A6773E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0.90 </w:t>
            </w:r>
          </w:p>
        </w:tc>
        <w:tc>
          <w:tcPr>
            <w:tcW w:w="268" w:type="pct"/>
            <w:tcBorders>
              <w:top w:val="single" w:color="000000" w:sz="4" w:space="0"/>
              <w:left w:val="nil"/>
              <w:bottom w:val="single" w:color="000000" w:sz="4" w:space="0"/>
              <w:right w:val="single" w:color="000000" w:sz="4" w:space="0"/>
            </w:tcBorders>
            <w:vAlign w:val="center"/>
          </w:tcPr>
          <w:p w14:paraId="4DD5941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1.34 </w:t>
            </w:r>
          </w:p>
        </w:tc>
        <w:tc>
          <w:tcPr>
            <w:tcW w:w="332" w:type="pct"/>
            <w:tcBorders>
              <w:top w:val="single" w:color="000000" w:sz="4" w:space="0"/>
              <w:left w:val="nil"/>
              <w:bottom w:val="single" w:color="000000" w:sz="4" w:space="0"/>
              <w:right w:val="single" w:color="000000" w:sz="4" w:space="0"/>
            </w:tcBorders>
            <w:vAlign w:val="center"/>
          </w:tcPr>
          <w:p w14:paraId="159E67C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5</w:t>
            </w:r>
          </w:p>
        </w:tc>
        <w:tc>
          <w:tcPr>
            <w:tcW w:w="264" w:type="pct"/>
            <w:tcBorders>
              <w:top w:val="single" w:color="000000" w:sz="4" w:space="0"/>
              <w:left w:val="nil"/>
              <w:bottom w:val="single" w:color="000000" w:sz="4" w:space="0"/>
              <w:right w:val="single" w:color="000000" w:sz="4" w:space="0"/>
            </w:tcBorders>
            <w:vAlign w:val="center"/>
          </w:tcPr>
          <w:p w14:paraId="78FF428F">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11.25 </w:t>
            </w:r>
          </w:p>
        </w:tc>
        <w:tc>
          <w:tcPr>
            <w:tcW w:w="268" w:type="pct"/>
            <w:tcBorders>
              <w:top w:val="single" w:color="000000" w:sz="4" w:space="0"/>
              <w:left w:val="nil"/>
              <w:bottom w:val="single" w:color="000000" w:sz="4" w:space="0"/>
              <w:right w:val="single" w:color="000000" w:sz="4" w:space="0"/>
            </w:tcBorders>
            <w:vAlign w:val="center"/>
          </w:tcPr>
          <w:p w14:paraId="73A953EB">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4.50 </w:t>
            </w:r>
          </w:p>
        </w:tc>
        <w:tc>
          <w:tcPr>
            <w:tcW w:w="306" w:type="pct"/>
            <w:tcBorders>
              <w:top w:val="single" w:color="000000" w:sz="4" w:space="0"/>
              <w:left w:val="nil"/>
              <w:bottom w:val="single" w:color="000000" w:sz="4" w:space="0"/>
              <w:right w:val="single" w:color="000000" w:sz="4" w:space="0"/>
            </w:tcBorders>
            <w:vAlign w:val="center"/>
          </w:tcPr>
          <w:p w14:paraId="420554D5">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6.70 </w:t>
            </w:r>
          </w:p>
        </w:tc>
        <w:tc>
          <w:tcPr>
            <w:tcW w:w="485" w:type="pct"/>
            <w:vMerge w:val="continue"/>
            <w:tcBorders>
              <w:top w:val="nil"/>
              <w:left w:val="nil"/>
              <w:bottom w:val="single" w:color="000000" w:sz="4" w:space="0"/>
              <w:right w:val="single" w:color="000000" w:sz="4" w:space="0"/>
            </w:tcBorders>
            <w:vAlign w:val="center"/>
          </w:tcPr>
          <w:p w14:paraId="61944FF6">
            <w:pPr>
              <w:widowControl/>
              <w:adjustRightInd/>
              <w:spacing w:line="240" w:lineRule="auto"/>
              <w:jc w:val="left"/>
              <w:rPr>
                <w:rFonts w:hint="default" w:ascii="Times New Roman" w:hAnsi="Times New Roman" w:cs="Times New Roman"/>
                <w:color w:val="000000"/>
                <w:sz w:val="18"/>
                <w:szCs w:val="18"/>
              </w:rPr>
            </w:pPr>
          </w:p>
        </w:tc>
      </w:tr>
      <w:tr w14:paraId="7574FA60">
        <w:tblPrEx>
          <w:tblCellMar>
            <w:top w:w="0" w:type="dxa"/>
            <w:left w:w="108" w:type="dxa"/>
            <w:bottom w:w="0" w:type="dxa"/>
            <w:right w:w="108" w:type="dxa"/>
          </w:tblCellMar>
        </w:tblPrEx>
        <w:trPr>
          <w:trHeight w:val="340" w:hRule="atLeast"/>
          <w:jc w:val="center"/>
        </w:trPr>
        <w:tc>
          <w:tcPr>
            <w:tcW w:w="382" w:type="pct"/>
            <w:vMerge w:val="continue"/>
            <w:tcBorders>
              <w:top w:val="nil"/>
              <w:left w:val="single" w:color="000000" w:sz="4" w:space="0"/>
              <w:bottom w:val="single" w:color="000000" w:sz="4" w:space="0"/>
              <w:right w:val="single" w:color="000000" w:sz="4" w:space="0"/>
            </w:tcBorders>
            <w:vAlign w:val="center"/>
          </w:tcPr>
          <w:p w14:paraId="6AD99C00">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nil"/>
              <w:left w:val="nil"/>
              <w:bottom w:val="single" w:color="000000" w:sz="4" w:space="0"/>
              <w:right w:val="single" w:color="000000" w:sz="4" w:space="0"/>
            </w:tcBorders>
            <w:vAlign w:val="center"/>
          </w:tcPr>
          <w:p w14:paraId="39429BF2">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nil"/>
              <w:left w:val="nil"/>
              <w:bottom w:val="single" w:color="000000" w:sz="4" w:space="0"/>
              <w:right w:val="single" w:color="000000" w:sz="4" w:space="0"/>
            </w:tcBorders>
            <w:vAlign w:val="center"/>
          </w:tcPr>
          <w:p w14:paraId="4B6554C7">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nil"/>
              <w:left w:val="nil"/>
              <w:bottom w:val="single" w:color="000000" w:sz="4" w:space="0"/>
              <w:right w:val="single" w:color="000000" w:sz="4" w:space="0"/>
            </w:tcBorders>
            <w:vAlign w:val="center"/>
          </w:tcPr>
          <w:p w14:paraId="0972232C">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nil"/>
              <w:left w:val="nil"/>
              <w:bottom w:val="single" w:color="000000" w:sz="4" w:space="0"/>
              <w:right w:val="single" w:color="000000" w:sz="4" w:space="0"/>
            </w:tcBorders>
            <w:vAlign w:val="center"/>
          </w:tcPr>
          <w:p w14:paraId="7ABC1065">
            <w:pPr>
              <w:widowControl/>
              <w:adjustRightInd/>
              <w:spacing w:line="240" w:lineRule="auto"/>
              <w:jc w:val="left"/>
              <w:rPr>
                <w:rFonts w:hint="default" w:ascii="Times New Roman" w:hAnsi="Times New Roman" w:cs="Times New Roman"/>
                <w:color w:val="000000"/>
                <w:sz w:val="18"/>
                <w:szCs w:val="18"/>
              </w:rPr>
            </w:pPr>
          </w:p>
        </w:tc>
        <w:tc>
          <w:tcPr>
            <w:tcW w:w="302" w:type="pct"/>
            <w:tcBorders>
              <w:top w:val="single" w:color="000000" w:sz="4" w:space="0"/>
              <w:left w:val="nil"/>
              <w:bottom w:val="single" w:color="000000" w:sz="4" w:space="0"/>
              <w:right w:val="single" w:color="000000" w:sz="4" w:space="0"/>
            </w:tcBorders>
            <w:vAlign w:val="center"/>
          </w:tcPr>
          <w:p w14:paraId="1BCDE27D">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低</w:t>
            </w:r>
          </w:p>
        </w:tc>
        <w:tc>
          <w:tcPr>
            <w:tcW w:w="244" w:type="pct"/>
            <w:tcBorders>
              <w:top w:val="single" w:color="000000" w:sz="4" w:space="0"/>
              <w:left w:val="nil"/>
              <w:bottom w:val="single" w:color="000000" w:sz="4" w:space="0"/>
              <w:right w:val="single" w:color="000000" w:sz="4" w:space="0"/>
            </w:tcBorders>
            <w:vAlign w:val="center"/>
          </w:tcPr>
          <w:p w14:paraId="44768930">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2.50 </w:t>
            </w:r>
          </w:p>
        </w:tc>
        <w:tc>
          <w:tcPr>
            <w:tcW w:w="294" w:type="pct"/>
            <w:tcBorders>
              <w:top w:val="single" w:color="000000" w:sz="4" w:space="0"/>
              <w:left w:val="nil"/>
              <w:bottom w:val="single" w:color="000000" w:sz="4" w:space="0"/>
              <w:right w:val="single" w:color="000000" w:sz="4" w:space="0"/>
            </w:tcBorders>
            <w:vAlign w:val="center"/>
          </w:tcPr>
          <w:p w14:paraId="1279BD9F">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1.00 </w:t>
            </w:r>
          </w:p>
        </w:tc>
        <w:tc>
          <w:tcPr>
            <w:tcW w:w="268" w:type="pct"/>
            <w:tcBorders>
              <w:top w:val="single" w:color="000000" w:sz="4" w:space="0"/>
              <w:left w:val="nil"/>
              <w:bottom w:val="single" w:color="000000" w:sz="4" w:space="0"/>
              <w:right w:val="single" w:color="000000" w:sz="4" w:space="0"/>
            </w:tcBorders>
            <w:vAlign w:val="center"/>
          </w:tcPr>
          <w:p w14:paraId="636C45AA">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 xml:space="preserve">1.50 </w:t>
            </w:r>
          </w:p>
        </w:tc>
        <w:tc>
          <w:tcPr>
            <w:tcW w:w="332" w:type="pct"/>
            <w:tcBorders>
              <w:top w:val="single" w:color="000000" w:sz="4" w:space="0"/>
              <w:left w:val="nil"/>
              <w:bottom w:val="single" w:color="000000" w:sz="4" w:space="0"/>
              <w:right w:val="single" w:color="000000" w:sz="4" w:space="0"/>
            </w:tcBorders>
            <w:vAlign w:val="center"/>
          </w:tcPr>
          <w:p w14:paraId="4BB980D8">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5</w:t>
            </w:r>
          </w:p>
        </w:tc>
        <w:tc>
          <w:tcPr>
            <w:tcW w:w="264" w:type="pct"/>
            <w:tcBorders>
              <w:top w:val="single" w:color="000000" w:sz="4" w:space="0"/>
              <w:left w:val="nil"/>
              <w:bottom w:val="single" w:color="000000" w:sz="4" w:space="0"/>
              <w:right w:val="single" w:color="000000" w:sz="4" w:space="0"/>
            </w:tcBorders>
            <w:vAlign w:val="center"/>
          </w:tcPr>
          <w:p w14:paraId="2690C280">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12.50 </w:t>
            </w:r>
          </w:p>
        </w:tc>
        <w:tc>
          <w:tcPr>
            <w:tcW w:w="268" w:type="pct"/>
            <w:tcBorders>
              <w:top w:val="single" w:color="000000" w:sz="4" w:space="0"/>
              <w:left w:val="nil"/>
              <w:bottom w:val="single" w:color="000000" w:sz="4" w:space="0"/>
              <w:right w:val="single" w:color="000000" w:sz="4" w:space="0"/>
            </w:tcBorders>
            <w:vAlign w:val="center"/>
          </w:tcPr>
          <w:p w14:paraId="1A826EC9">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5.00 </w:t>
            </w:r>
          </w:p>
        </w:tc>
        <w:tc>
          <w:tcPr>
            <w:tcW w:w="306" w:type="pct"/>
            <w:tcBorders>
              <w:top w:val="single" w:color="000000" w:sz="4" w:space="0"/>
              <w:left w:val="nil"/>
              <w:bottom w:val="single" w:color="000000" w:sz="4" w:space="0"/>
              <w:right w:val="single" w:color="000000" w:sz="4" w:space="0"/>
            </w:tcBorders>
            <w:vAlign w:val="center"/>
          </w:tcPr>
          <w:p w14:paraId="18E0D709">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 xml:space="preserve">7.50 </w:t>
            </w:r>
          </w:p>
        </w:tc>
        <w:tc>
          <w:tcPr>
            <w:tcW w:w="485" w:type="pct"/>
            <w:vMerge w:val="continue"/>
            <w:tcBorders>
              <w:top w:val="nil"/>
              <w:left w:val="nil"/>
              <w:bottom w:val="single" w:color="000000" w:sz="4" w:space="0"/>
              <w:right w:val="single" w:color="000000" w:sz="4" w:space="0"/>
            </w:tcBorders>
            <w:vAlign w:val="center"/>
          </w:tcPr>
          <w:p w14:paraId="04A628B9">
            <w:pPr>
              <w:widowControl/>
              <w:adjustRightInd/>
              <w:spacing w:line="240" w:lineRule="auto"/>
              <w:jc w:val="left"/>
              <w:rPr>
                <w:rFonts w:hint="default" w:ascii="Times New Roman" w:hAnsi="Times New Roman" w:cs="Times New Roman"/>
                <w:color w:val="000000"/>
                <w:sz w:val="18"/>
                <w:szCs w:val="18"/>
              </w:rPr>
            </w:pPr>
          </w:p>
        </w:tc>
      </w:tr>
      <w:tr w14:paraId="373B112F">
        <w:tblPrEx>
          <w:tblCellMar>
            <w:top w:w="0" w:type="dxa"/>
            <w:left w:w="108" w:type="dxa"/>
            <w:bottom w:w="0" w:type="dxa"/>
            <w:right w:w="108" w:type="dxa"/>
          </w:tblCellMar>
        </w:tblPrEx>
        <w:trPr>
          <w:trHeight w:val="980" w:hRule="atLeast"/>
          <w:jc w:val="center"/>
        </w:trPr>
        <w:tc>
          <w:tcPr>
            <w:tcW w:w="382" w:type="pct"/>
            <w:tcBorders>
              <w:top w:val="single" w:color="000000" w:sz="4" w:space="0"/>
              <w:left w:val="single" w:color="000000" w:sz="4" w:space="0"/>
              <w:bottom w:val="single" w:color="000000" w:sz="4" w:space="0"/>
              <w:right w:val="single" w:color="000000" w:sz="4" w:space="0"/>
            </w:tcBorders>
            <w:vAlign w:val="center"/>
          </w:tcPr>
          <w:p w14:paraId="23B6256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成熟期</w:t>
            </w:r>
          </w:p>
        </w:tc>
        <w:tc>
          <w:tcPr>
            <w:tcW w:w="444" w:type="pct"/>
            <w:tcBorders>
              <w:top w:val="single" w:color="000000" w:sz="4" w:space="0"/>
              <w:left w:val="nil"/>
              <w:bottom w:val="single" w:color="000000" w:sz="4" w:space="0"/>
              <w:right w:val="single" w:color="000000" w:sz="4" w:space="0"/>
            </w:tcBorders>
            <w:vAlign w:val="center"/>
          </w:tcPr>
          <w:p w14:paraId="1DC64D1E">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9月上中旬</w:t>
            </w:r>
          </w:p>
        </w:tc>
        <w:tc>
          <w:tcPr>
            <w:tcW w:w="502" w:type="pct"/>
            <w:tcBorders>
              <w:top w:val="single" w:color="000000" w:sz="4" w:space="0"/>
              <w:left w:val="nil"/>
              <w:bottom w:val="single" w:color="000000" w:sz="4" w:space="0"/>
              <w:right w:val="single" w:color="000000" w:sz="4" w:space="0"/>
            </w:tcBorders>
            <w:vAlign w:val="center"/>
          </w:tcPr>
          <w:p w14:paraId="5B894A2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15～20</w:t>
            </w:r>
          </w:p>
        </w:tc>
        <w:tc>
          <w:tcPr>
            <w:tcW w:w="404" w:type="pct"/>
            <w:tcBorders>
              <w:top w:val="single" w:color="000000" w:sz="4" w:space="0"/>
              <w:left w:val="nil"/>
              <w:bottom w:val="single" w:color="000000" w:sz="4" w:space="0"/>
              <w:right w:val="single" w:color="000000" w:sz="4" w:space="0"/>
            </w:tcBorders>
            <w:vAlign w:val="center"/>
          </w:tcPr>
          <w:p w14:paraId="3CEF3E65">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w:t>
            </w:r>
          </w:p>
        </w:tc>
        <w:tc>
          <w:tcPr>
            <w:tcW w:w="505" w:type="pct"/>
            <w:tcBorders>
              <w:top w:val="single" w:color="000000" w:sz="4" w:space="0"/>
              <w:left w:val="nil"/>
              <w:bottom w:val="single" w:color="000000" w:sz="4" w:space="0"/>
              <w:right w:val="single" w:color="000000" w:sz="4" w:space="0"/>
            </w:tcBorders>
            <w:vAlign w:val="center"/>
          </w:tcPr>
          <w:p w14:paraId="41397C50">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15～20</w:t>
            </w:r>
          </w:p>
        </w:tc>
        <w:tc>
          <w:tcPr>
            <w:tcW w:w="302" w:type="pct"/>
            <w:tcBorders>
              <w:top w:val="single" w:color="000000" w:sz="4" w:space="0"/>
              <w:left w:val="nil"/>
              <w:bottom w:val="single" w:color="000000" w:sz="4" w:space="0"/>
              <w:right w:val="single" w:color="000000" w:sz="4" w:space="0"/>
            </w:tcBorders>
            <w:vAlign w:val="center"/>
          </w:tcPr>
          <w:p w14:paraId="5562D7D0">
            <w:pPr>
              <w:adjustRightInd/>
              <w:spacing w:line="240" w:lineRule="auto"/>
              <w:jc w:val="center"/>
              <w:rPr>
                <w:rFonts w:hint="default" w:ascii="Times New Roman" w:hAnsi="Times New Roman" w:cs="Times New Roman"/>
                <w:color w:val="000000"/>
                <w:sz w:val="18"/>
                <w:szCs w:val="18"/>
              </w:rPr>
            </w:pPr>
          </w:p>
        </w:tc>
        <w:tc>
          <w:tcPr>
            <w:tcW w:w="244" w:type="pct"/>
            <w:tcBorders>
              <w:top w:val="single" w:color="000000" w:sz="4" w:space="0"/>
              <w:left w:val="nil"/>
              <w:bottom w:val="single" w:color="000000" w:sz="4" w:space="0"/>
              <w:right w:val="single" w:color="000000" w:sz="4" w:space="0"/>
            </w:tcBorders>
            <w:vAlign w:val="center"/>
          </w:tcPr>
          <w:p w14:paraId="4BFE1CBB">
            <w:pPr>
              <w:adjustRightInd/>
              <w:spacing w:line="240" w:lineRule="auto"/>
              <w:jc w:val="center"/>
              <w:rPr>
                <w:rFonts w:hint="default" w:ascii="Times New Roman" w:hAnsi="Times New Roman" w:cs="Times New Roman"/>
                <w:color w:val="000000"/>
                <w:sz w:val="18"/>
                <w:szCs w:val="18"/>
              </w:rPr>
            </w:pPr>
          </w:p>
        </w:tc>
        <w:tc>
          <w:tcPr>
            <w:tcW w:w="294" w:type="pct"/>
            <w:tcBorders>
              <w:top w:val="single" w:color="000000" w:sz="4" w:space="0"/>
              <w:left w:val="nil"/>
              <w:bottom w:val="single" w:color="000000" w:sz="4" w:space="0"/>
              <w:right w:val="single" w:color="000000" w:sz="4" w:space="0"/>
            </w:tcBorders>
            <w:vAlign w:val="center"/>
          </w:tcPr>
          <w:p w14:paraId="6EA1076D">
            <w:pPr>
              <w:adjustRightInd/>
              <w:spacing w:line="240" w:lineRule="auto"/>
              <w:jc w:val="center"/>
              <w:rPr>
                <w:rFonts w:hint="default" w:ascii="Times New Roman" w:hAnsi="Times New Roman" w:cs="Times New Roman"/>
                <w:color w:val="000000"/>
                <w:sz w:val="18"/>
                <w:szCs w:val="18"/>
              </w:rPr>
            </w:pPr>
          </w:p>
        </w:tc>
        <w:tc>
          <w:tcPr>
            <w:tcW w:w="268" w:type="pct"/>
            <w:tcBorders>
              <w:top w:val="single" w:color="000000" w:sz="4" w:space="0"/>
              <w:left w:val="nil"/>
              <w:bottom w:val="single" w:color="000000" w:sz="4" w:space="0"/>
              <w:right w:val="single" w:color="000000" w:sz="4" w:space="0"/>
            </w:tcBorders>
            <w:vAlign w:val="center"/>
          </w:tcPr>
          <w:p w14:paraId="32A6C41B">
            <w:pPr>
              <w:adjustRightInd/>
              <w:spacing w:line="240" w:lineRule="auto"/>
              <w:jc w:val="center"/>
              <w:rPr>
                <w:rFonts w:hint="default" w:ascii="Times New Roman" w:hAnsi="Times New Roman" w:cs="Times New Roman"/>
                <w:color w:val="000000"/>
                <w:sz w:val="18"/>
                <w:szCs w:val="18"/>
              </w:rPr>
            </w:pPr>
          </w:p>
        </w:tc>
        <w:tc>
          <w:tcPr>
            <w:tcW w:w="332" w:type="pct"/>
            <w:tcBorders>
              <w:top w:val="single" w:color="000000" w:sz="4" w:space="0"/>
              <w:left w:val="nil"/>
              <w:bottom w:val="single" w:color="000000" w:sz="4" w:space="0"/>
              <w:right w:val="single" w:color="000000" w:sz="4" w:space="0"/>
            </w:tcBorders>
            <w:vAlign w:val="center"/>
          </w:tcPr>
          <w:p w14:paraId="42BDFBAD">
            <w:pPr>
              <w:adjustRightInd/>
              <w:spacing w:line="240" w:lineRule="auto"/>
              <w:jc w:val="center"/>
              <w:rPr>
                <w:rFonts w:hint="default" w:ascii="Times New Roman" w:hAnsi="Times New Roman" w:cs="Times New Roman"/>
                <w:color w:val="000000"/>
                <w:sz w:val="18"/>
                <w:szCs w:val="18"/>
              </w:rPr>
            </w:pPr>
          </w:p>
        </w:tc>
        <w:tc>
          <w:tcPr>
            <w:tcW w:w="264" w:type="pct"/>
            <w:tcBorders>
              <w:top w:val="single" w:color="000000" w:sz="4" w:space="0"/>
              <w:left w:val="nil"/>
              <w:bottom w:val="single" w:color="000000" w:sz="4" w:space="0"/>
              <w:right w:val="single" w:color="000000" w:sz="4" w:space="0"/>
            </w:tcBorders>
            <w:vAlign w:val="center"/>
          </w:tcPr>
          <w:p w14:paraId="0D6CFAB6">
            <w:pPr>
              <w:adjustRightInd/>
              <w:spacing w:line="240" w:lineRule="auto"/>
              <w:jc w:val="center"/>
              <w:textAlignment w:val="center"/>
              <w:rPr>
                <w:rFonts w:hint="default" w:ascii="Times New Roman" w:hAnsi="Times New Roman" w:cs="Times New Roman"/>
                <w:color w:val="000000"/>
                <w:kern w:val="0"/>
                <w:sz w:val="18"/>
                <w:szCs w:val="18"/>
              </w:rPr>
            </w:pPr>
          </w:p>
        </w:tc>
        <w:tc>
          <w:tcPr>
            <w:tcW w:w="268" w:type="pct"/>
            <w:tcBorders>
              <w:top w:val="single" w:color="000000" w:sz="4" w:space="0"/>
              <w:left w:val="nil"/>
              <w:bottom w:val="single" w:color="000000" w:sz="4" w:space="0"/>
              <w:right w:val="single" w:color="000000" w:sz="4" w:space="0"/>
            </w:tcBorders>
            <w:vAlign w:val="center"/>
          </w:tcPr>
          <w:p w14:paraId="28DAC9F2">
            <w:pPr>
              <w:adjustRightInd/>
              <w:spacing w:line="240" w:lineRule="auto"/>
              <w:jc w:val="center"/>
              <w:textAlignment w:val="center"/>
              <w:rPr>
                <w:rFonts w:hint="default" w:ascii="Times New Roman" w:hAnsi="Times New Roman" w:cs="Times New Roman"/>
                <w:color w:val="000000"/>
                <w:kern w:val="0"/>
                <w:sz w:val="18"/>
                <w:szCs w:val="18"/>
              </w:rPr>
            </w:pPr>
          </w:p>
        </w:tc>
        <w:tc>
          <w:tcPr>
            <w:tcW w:w="306" w:type="pct"/>
            <w:tcBorders>
              <w:top w:val="single" w:color="000000" w:sz="4" w:space="0"/>
              <w:left w:val="nil"/>
              <w:bottom w:val="single" w:color="000000" w:sz="4" w:space="0"/>
              <w:right w:val="single" w:color="000000" w:sz="4" w:space="0"/>
            </w:tcBorders>
            <w:vAlign w:val="center"/>
          </w:tcPr>
          <w:p w14:paraId="6C821ABC">
            <w:pPr>
              <w:adjustRightInd/>
              <w:spacing w:line="240" w:lineRule="auto"/>
              <w:jc w:val="center"/>
              <w:textAlignment w:val="center"/>
              <w:rPr>
                <w:rFonts w:hint="default" w:ascii="Times New Roman" w:hAnsi="Times New Roman" w:cs="Times New Roman"/>
                <w:color w:val="000000"/>
                <w:kern w:val="0"/>
                <w:sz w:val="18"/>
                <w:szCs w:val="18"/>
              </w:rPr>
            </w:pPr>
          </w:p>
        </w:tc>
        <w:tc>
          <w:tcPr>
            <w:tcW w:w="485" w:type="pct"/>
            <w:tcBorders>
              <w:top w:val="single" w:color="000000" w:sz="4" w:space="0"/>
              <w:left w:val="nil"/>
              <w:bottom w:val="single" w:color="000000" w:sz="4" w:space="0"/>
              <w:right w:val="single" w:color="000000" w:sz="4" w:space="0"/>
            </w:tcBorders>
            <w:vAlign w:val="center"/>
          </w:tcPr>
          <w:p w14:paraId="5648859F">
            <w:pPr>
              <w:adjustRightInd/>
              <w:spacing w:line="240" w:lineRule="auto"/>
              <w:jc w:val="center"/>
              <w:rPr>
                <w:rFonts w:hint="default" w:ascii="Times New Roman" w:hAnsi="Times New Roman" w:cs="Times New Roman"/>
                <w:color w:val="000000"/>
                <w:sz w:val="18"/>
                <w:szCs w:val="18"/>
              </w:rPr>
            </w:pPr>
          </w:p>
        </w:tc>
      </w:tr>
      <w:tr w14:paraId="3C4A054D">
        <w:tblPrEx>
          <w:tblCellMar>
            <w:top w:w="0" w:type="dxa"/>
            <w:left w:w="108" w:type="dxa"/>
            <w:bottom w:w="0" w:type="dxa"/>
            <w:right w:w="108" w:type="dxa"/>
          </w:tblCellMar>
        </w:tblPrEx>
        <w:trPr>
          <w:trHeight w:val="340" w:hRule="atLeast"/>
          <w:jc w:val="center"/>
        </w:trPr>
        <w:tc>
          <w:tcPr>
            <w:tcW w:w="382" w:type="pct"/>
            <w:vMerge w:val="restart"/>
            <w:tcBorders>
              <w:top w:val="nil"/>
              <w:left w:val="single" w:color="000000" w:sz="4" w:space="0"/>
              <w:bottom w:val="single" w:color="000000" w:sz="4" w:space="0"/>
              <w:right w:val="single" w:color="000000" w:sz="4" w:space="0"/>
            </w:tcBorders>
            <w:vAlign w:val="center"/>
          </w:tcPr>
          <w:p w14:paraId="700F0B8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合计</w:t>
            </w:r>
          </w:p>
        </w:tc>
        <w:tc>
          <w:tcPr>
            <w:tcW w:w="444" w:type="pct"/>
            <w:vMerge w:val="restart"/>
            <w:tcBorders>
              <w:top w:val="nil"/>
              <w:left w:val="nil"/>
              <w:bottom w:val="single" w:color="000000" w:sz="4" w:space="0"/>
              <w:right w:val="single" w:color="000000" w:sz="4" w:space="0"/>
            </w:tcBorders>
            <w:vAlign w:val="center"/>
          </w:tcPr>
          <w:p w14:paraId="0C3ABAAD">
            <w:pPr>
              <w:adjustRightInd/>
              <w:spacing w:line="240" w:lineRule="auto"/>
              <w:jc w:val="center"/>
              <w:rPr>
                <w:rFonts w:hint="default" w:ascii="Times New Roman" w:hAnsi="Times New Roman" w:cs="Times New Roman"/>
                <w:color w:val="000000"/>
                <w:sz w:val="18"/>
                <w:szCs w:val="18"/>
              </w:rPr>
            </w:pPr>
          </w:p>
        </w:tc>
        <w:tc>
          <w:tcPr>
            <w:tcW w:w="502" w:type="pct"/>
            <w:vMerge w:val="restart"/>
            <w:tcBorders>
              <w:top w:val="nil"/>
              <w:left w:val="nil"/>
              <w:bottom w:val="single" w:color="000000" w:sz="4" w:space="0"/>
              <w:right w:val="single" w:color="000000" w:sz="4" w:space="0"/>
            </w:tcBorders>
            <w:vAlign w:val="center"/>
          </w:tcPr>
          <w:p w14:paraId="441836F8">
            <w:pPr>
              <w:adjustRightInd/>
              <w:spacing w:line="240" w:lineRule="auto"/>
              <w:jc w:val="center"/>
              <w:rPr>
                <w:rFonts w:hint="default" w:ascii="Times New Roman" w:hAnsi="Times New Roman" w:cs="Times New Roman"/>
                <w:color w:val="000000"/>
                <w:sz w:val="18"/>
                <w:szCs w:val="18"/>
              </w:rPr>
            </w:pPr>
          </w:p>
        </w:tc>
        <w:tc>
          <w:tcPr>
            <w:tcW w:w="404" w:type="pct"/>
            <w:vMerge w:val="restart"/>
            <w:tcBorders>
              <w:top w:val="nil"/>
              <w:left w:val="nil"/>
              <w:bottom w:val="single" w:color="000000" w:sz="4" w:space="0"/>
              <w:right w:val="single" w:color="000000" w:sz="4" w:space="0"/>
            </w:tcBorders>
            <w:vAlign w:val="center"/>
          </w:tcPr>
          <w:p w14:paraId="7001A3CE">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11</w:t>
            </w:r>
          </w:p>
        </w:tc>
        <w:tc>
          <w:tcPr>
            <w:tcW w:w="505" w:type="pct"/>
            <w:vMerge w:val="restart"/>
            <w:tcBorders>
              <w:top w:val="nil"/>
              <w:left w:val="nil"/>
              <w:bottom w:val="single" w:color="000000" w:sz="4" w:space="0"/>
              <w:right w:val="single" w:color="000000" w:sz="4" w:space="0"/>
            </w:tcBorders>
            <w:vAlign w:val="center"/>
          </w:tcPr>
          <w:p w14:paraId="09F5FC44">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190～210</w:t>
            </w:r>
          </w:p>
        </w:tc>
        <w:tc>
          <w:tcPr>
            <w:tcW w:w="302" w:type="pct"/>
            <w:tcBorders>
              <w:top w:val="single" w:color="000000" w:sz="4" w:space="0"/>
              <w:left w:val="nil"/>
              <w:bottom w:val="single" w:color="000000" w:sz="4" w:space="0"/>
              <w:right w:val="single" w:color="000000" w:sz="4" w:space="0"/>
            </w:tcBorders>
            <w:vAlign w:val="center"/>
          </w:tcPr>
          <w:p w14:paraId="3CDB7BDE">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高</w:t>
            </w:r>
          </w:p>
        </w:tc>
        <w:tc>
          <w:tcPr>
            <w:tcW w:w="244" w:type="pct"/>
            <w:tcBorders>
              <w:top w:val="single" w:color="000000" w:sz="4" w:space="0"/>
              <w:left w:val="nil"/>
              <w:bottom w:val="single" w:color="000000" w:sz="4" w:space="0"/>
              <w:right w:val="single" w:color="000000" w:sz="4" w:space="0"/>
            </w:tcBorders>
            <w:vAlign w:val="center"/>
          </w:tcPr>
          <w:p w14:paraId="4B2BD235">
            <w:pPr>
              <w:adjustRightInd/>
              <w:spacing w:line="240" w:lineRule="auto"/>
              <w:jc w:val="center"/>
              <w:rPr>
                <w:rFonts w:hint="default" w:ascii="Times New Roman" w:hAnsi="Times New Roman" w:cs="Times New Roman"/>
                <w:color w:val="000000"/>
                <w:sz w:val="18"/>
                <w:szCs w:val="18"/>
              </w:rPr>
            </w:pPr>
          </w:p>
        </w:tc>
        <w:tc>
          <w:tcPr>
            <w:tcW w:w="294" w:type="pct"/>
            <w:tcBorders>
              <w:top w:val="single" w:color="000000" w:sz="4" w:space="0"/>
              <w:left w:val="nil"/>
              <w:bottom w:val="single" w:color="000000" w:sz="4" w:space="0"/>
              <w:right w:val="single" w:color="000000" w:sz="4" w:space="0"/>
            </w:tcBorders>
            <w:vAlign w:val="center"/>
          </w:tcPr>
          <w:p w14:paraId="6B2C1DEF">
            <w:pPr>
              <w:adjustRightInd/>
              <w:spacing w:line="240" w:lineRule="auto"/>
              <w:jc w:val="center"/>
              <w:rPr>
                <w:rFonts w:hint="default" w:ascii="Times New Roman" w:hAnsi="Times New Roman" w:cs="Times New Roman"/>
                <w:color w:val="000000"/>
                <w:sz w:val="18"/>
                <w:szCs w:val="18"/>
              </w:rPr>
            </w:pPr>
          </w:p>
        </w:tc>
        <w:tc>
          <w:tcPr>
            <w:tcW w:w="268" w:type="pct"/>
            <w:tcBorders>
              <w:top w:val="single" w:color="000000" w:sz="4" w:space="0"/>
              <w:left w:val="nil"/>
              <w:bottom w:val="single" w:color="000000" w:sz="4" w:space="0"/>
              <w:right w:val="single" w:color="000000" w:sz="4" w:space="0"/>
            </w:tcBorders>
            <w:vAlign w:val="center"/>
          </w:tcPr>
          <w:p w14:paraId="16853C22">
            <w:pPr>
              <w:adjustRightInd/>
              <w:spacing w:line="240" w:lineRule="auto"/>
              <w:jc w:val="center"/>
              <w:rPr>
                <w:rFonts w:hint="default" w:ascii="Times New Roman" w:hAnsi="Times New Roman" w:cs="Times New Roman"/>
                <w:color w:val="000000"/>
                <w:sz w:val="18"/>
                <w:szCs w:val="18"/>
              </w:rPr>
            </w:pPr>
          </w:p>
        </w:tc>
        <w:tc>
          <w:tcPr>
            <w:tcW w:w="332" w:type="pct"/>
            <w:tcBorders>
              <w:top w:val="single" w:color="000000" w:sz="4" w:space="0"/>
              <w:left w:val="nil"/>
              <w:bottom w:val="single" w:color="000000" w:sz="4" w:space="0"/>
              <w:right w:val="single" w:color="000000" w:sz="4" w:space="0"/>
            </w:tcBorders>
            <w:vAlign w:val="center"/>
          </w:tcPr>
          <w:p w14:paraId="1060A3D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9</w:t>
            </w:r>
          </w:p>
        </w:tc>
        <w:tc>
          <w:tcPr>
            <w:tcW w:w="264" w:type="pct"/>
            <w:tcBorders>
              <w:top w:val="single" w:color="000000" w:sz="4" w:space="0"/>
              <w:left w:val="nil"/>
              <w:bottom w:val="single" w:color="000000" w:sz="4" w:space="0"/>
              <w:right w:val="single" w:color="000000" w:sz="4" w:space="0"/>
            </w:tcBorders>
            <w:vAlign w:val="center"/>
          </w:tcPr>
          <w:p w14:paraId="66795CFE">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22.16</w:t>
            </w:r>
          </w:p>
        </w:tc>
        <w:tc>
          <w:tcPr>
            <w:tcW w:w="268" w:type="pct"/>
            <w:tcBorders>
              <w:top w:val="single" w:color="000000" w:sz="4" w:space="0"/>
              <w:left w:val="nil"/>
              <w:bottom w:val="single" w:color="000000" w:sz="4" w:space="0"/>
              <w:right w:val="single" w:color="000000" w:sz="4" w:space="0"/>
            </w:tcBorders>
            <w:vAlign w:val="center"/>
          </w:tcPr>
          <w:p w14:paraId="58F174D5">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7.8</w:t>
            </w:r>
          </w:p>
        </w:tc>
        <w:tc>
          <w:tcPr>
            <w:tcW w:w="306" w:type="pct"/>
            <w:tcBorders>
              <w:top w:val="single" w:color="000000" w:sz="4" w:space="0"/>
              <w:left w:val="nil"/>
              <w:bottom w:val="single" w:color="000000" w:sz="4" w:space="0"/>
              <w:right w:val="single" w:color="000000" w:sz="4" w:space="0"/>
            </w:tcBorders>
            <w:vAlign w:val="center"/>
          </w:tcPr>
          <w:p w14:paraId="421BF32F">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9.04</w:t>
            </w:r>
          </w:p>
        </w:tc>
        <w:tc>
          <w:tcPr>
            <w:tcW w:w="485" w:type="pct"/>
            <w:tcBorders>
              <w:top w:val="single" w:color="000000" w:sz="4" w:space="0"/>
              <w:left w:val="nil"/>
              <w:bottom w:val="single" w:color="000000" w:sz="4" w:space="0"/>
              <w:right w:val="single" w:color="000000" w:sz="4" w:space="0"/>
            </w:tcBorders>
            <w:vAlign w:val="center"/>
          </w:tcPr>
          <w:p w14:paraId="454D29D1">
            <w:pPr>
              <w:adjustRightInd/>
              <w:spacing w:line="240" w:lineRule="auto"/>
              <w:jc w:val="center"/>
              <w:rPr>
                <w:rFonts w:hint="default" w:ascii="Times New Roman" w:hAnsi="Times New Roman" w:cs="Times New Roman"/>
                <w:color w:val="000000"/>
                <w:sz w:val="18"/>
                <w:szCs w:val="18"/>
              </w:rPr>
            </w:pPr>
          </w:p>
        </w:tc>
      </w:tr>
      <w:tr w14:paraId="48A1E8FB">
        <w:tblPrEx>
          <w:tblCellMar>
            <w:top w:w="0" w:type="dxa"/>
            <w:left w:w="108" w:type="dxa"/>
            <w:bottom w:w="0" w:type="dxa"/>
            <w:right w:w="108" w:type="dxa"/>
          </w:tblCellMar>
        </w:tblPrEx>
        <w:trPr>
          <w:trHeight w:val="340" w:hRule="atLeast"/>
          <w:jc w:val="center"/>
        </w:trPr>
        <w:tc>
          <w:tcPr>
            <w:tcW w:w="382" w:type="pct"/>
            <w:vMerge w:val="continue"/>
            <w:tcBorders>
              <w:top w:val="nil"/>
              <w:left w:val="single" w:color="000000" w:sz="4" w:space="0"/>
              <w:bottom w:val="single" w:color="000000" w:sz="4" w:space="0"/>
              <w:right w:val="single" w:color="000000" w:sz="4" w:space="0"/>
            </w:tcBorders>
            <w:vAlign w:val="center"/>
          </w:tcPr>
          <w:p w14:paraId="7EBA34A9">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nil"/>
              <w:left w:val="nil"/>
              <w:bottom w:val="single" w:color="000000" w:sz="4" w:space="0"/>
              <w:right w:val="single" w:color="000000" w:sz="4" w:space="0"/>
            </w:tcBorders>
            <w:vAlign w:val="center"/>
          </w:tcPr>
          <w:p w14:paraId="4883217E">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nil"/>
              <w:left w:val="nil"/>
              <w:bottom w:val="single" w:color="000000" w:sz="4" w:space="0"/>
              <w:right w:val="single" w:color="000000" w:sz="4" w:space="0"/>
            </w:tcBorders>
            <w:vAlign w:val="center"/>
          </w:tcPr>
          <w:p w14:paraId="69A8C067">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nil"/>
              <w:left w:val="nil"/>
              <w:bottom w:val="single" w:color="000000" w:sz="4" w:space="0"/>
              <w:right w:val="single" w:color="000000" w:sz="4" w:space="0"/>
            </w:tcBorders>
            <w:vAlign w:val="center"/>
          </w:tcPr>
          <w:p w14:paraId="09EA2343">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nil"/>
              <w:left w:val="nil"/>
              <w:bottom w:val="single" w:color="000000" w:sz="4" w:space="0"/>
              <w:right w:val="single" w:color="000000" w:sz="4" w:space="0"/>
            </w:tcBorders>
            <w:vAlign w:val="center"/>
          </w:tcPr>
          <w:p w14:paraId="76576DC5">
            <w:pPr>
              <w:widowControl/>
              <w:adjustRightInd/>
              <w:spacing w:line="240" w:lineRule="auto"/>
              <w:jc w:val="left"/>
              <w:rPr>
                <w:rFonts w:hint="default" w:ascii="Times New Roman" w:hAnsi="Times New Roman" w:cs="Times New Roman"/>
                <w:color w:val="000000"/>
                <w:sz w:val="18"/>
                <w:szCs w:val="18"/>
              </w:rPr>
            </w:pPr>
          </w:p>
        </w:tc>
        <w:tc>
          <w:tcPr>
            <w:tcW w:w="302" w:type="pct"/>
            <w:tcBorders>
              <w:top w:val="single" w:color="000000" w:sz="4" w:space="0"/>
              <w:left w:val="nil"/>
              <w:bottom w:val="single" w:color="000000" w:sz="4" w:space="0"/>
              <w:right w:val="single" w:color="000000" w:sz="4" w:space="0"/>
            </w:tcBorders>
            <w:vAlign w:val="center"/>
          </w:tcPr>
          <w:p w14:paraId="131B13C2">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中</w:t>
            </w:r>
          </w:p>
        </w:tc>
        <w:tc>
          <w:tcPr>
            <w:tcW w:w="244" w:type="pct"/>
            <w:tcBorders>
              <w:top w:val="single" w:color="000000" w:sz="4" w:space="0"/>
              <w:left w:val="nil"/>
              <w:bottom w:val="single" w:color="000000" w:sz="4" w:space="0"/>
              <w:right w:val="single" w:color="000000" w:sz="4" w:space="0"/>
            </w:tcBorders>
            <w:vAlign w:val="center"/>
          </w:tcPr>
          <w:p w14:paraId="10D1B041">
            <w:pPr>
              <w:adjustRightInd/>
              <w:spacing w:line="240" w:lineRule="auto"/>
              <w:jc w:val="center"/>
              <w:rPr>
                <w:rFonts w:hint="default" w:ascii="Times New Roman" w:hAnsi="Times New Roman" w:cs="Times New Roman"/>
                <w:color w:val="000000"/>
                <w:sz w:val="18"/>
                <w:szCs w:val="18"/>
              </w:rPr>
            </w:pPr>
          </w:p>
        </w:tc>
        <w:tc>
          <w:tcPr>
            <w:tcW w:w="294" w:type="pct"/>
            <w:tcBorders>
              <w:top w:val="single" w:color="000000" w:sz="4" w:space="0"/>
              <w:left w:val="nil"/>
              <w:bottom w:val="single" w:color="000000" w:sz="4" w:space="0"/>
              <w:right w:val="single" w:color="000000" w:sz="4" w:space="0"/>
            </w:tcBorders>
            <w:vAlign w:val="center"/>
          </w:tcPr>
          <w:p w14:paraId="5763589F">
            <w:pPr>
              <w:adjustRightInd/>
              <w:spacing w:line="240" w:lineRule="auto"/>
              <w:jc w:val="center"/>
              <w:rPr>
                <w:rFonts w:hint="default" w:ascii="Times New Roman" w:hAnsi="Times New Roman" w:cs="Times New Roman"/>
                <w:color w:val="000000"/>
                <w:sz w:val="18"/>
                <w:szCs w:val="18"/>
              </w:rPr>
            </w:pPr>
          </w:p>
        </w:tc>
        <w:tc>
          <w:tcPr>
            <w:tcW w:w="268" w:type="pct"/>
            <w:tcBorders>
              <w:top w:val="single" w:color="000000" w:sz="4" w:space="0"/>
              <w:left w:val="nil"/>
              <w:bottom w:val="single" w:color="000000" w:sz="4" w:space="0"/>
              <w:right w:val="single" w:color="000000" w:sz="4" w:space="0"/>
            </w:tcBorders>
            <w:vAlign w:val="center"/>
          </w:tcPr>
          <w:p w14:paraId="194BAFA5">
            <w:pPr>
              <w:adjustRightInd/>
              <w:spacing w:line="240" w:lineRule="auto"/>
              <w:jc w:val="center"/>
              <w:rPr>
                <w:rFonts w:hint="default" w:ascii="Times New Roman" w:hAnsi="Times New Roman" w:cs="Times New Roman"/>
                <w:color w:val="000000"/>
                <w:sz w:val="18"/>
                <w:szCs w:val="18"/>
              </w:rPr>
            </w:pPr>
          </w:p>
        </w:tc>
        <w:tc>
          <w:tcPr>
            <w:tcW w:w="332" w:type="pct"/>
            <w:tcBorders>
              <w:top w:val="single" w:color="000000" w:sz="4" w:space="0"/>
              <w:left w:val="nil"/>
              <w:bottom w:val="single" w:color="000000" w:sz="4" w:space="0"/>
              <w:right w:val="single" w:color="000000" w:sz="4" w:space="0"/>
            </w:tcBorders>
            <w:vAlign w:val="center"/>
          </w:tcPr>
          <w:p w14:paraId="079E054B">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9</w:t>
            </w:r>
          </w:p>
        </w:tc>
        <w:tc>
          <w:tcPr>
            <w:tcW w:w="264" w:type="pct"/>
            <w:tcBorders>
              <w:top w:val="single" w:color="000000" w:sz="4" w:space="0"/>
              <w:left w:val="nil"/>
              <w:bottom w:val="single" w:color="000000" w:sz="4" w:space="0"/>
              <w:right w:val="single" w:color="000000" w:sz="4" w:space="0"/>
            </w:tcBorders>
            <w:vAlign w:val="center"/>
          </w:tcPr>
          <w:p w14:paraId="543DB223">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24.69</w:t>
            </w:r>
          </w:p>
        </w:tc>
        <w:tc>
          <w:tcPr>
            <w:tcW w:w="268" w:type="pct"/>
            <w:tcBorders>
              <w:top w:val="single" w:color="000000" w:sz="4" w:space="0"/>
              <w:left w:val="nil"/>
              <w:bottom w:val="single" w:color="000000" w:sz="4" w:space="0"/>
              <w:right w:val="single" w:color="000000" w:sz="4" w:space="0"/>
            </w:tcBorders>
            <w:vAlign w:val="center"/>
          </w:tcPr>
          <w:p w14:paraId="5DE7C2C7">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8.7</w:t>
            </w:r>
          </w:p>
        </w:tc>
        <w:tc>
          <w:tcPr>
            <w:tcW w:w="306" w:type="pct"/>
            <w:tcBorders>
              <w:top w:val="single" w:color="000000" w:sz="4" w:space="0"/>
              <w:left w:val="nil"/>
              <w:bottom w:val="single" w:color="000000" w:sz="4" w:space="0"/>
              <w:right w:val="single" w:color="000000" w:sz="4" w:space="0"/>
            </w:tcBorders>
            <w:vAlign w:val="center"/>
          </w:tcPr>
          <w:p w14:paraId="1F2832DF">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10.06</w:t>
            </w:r>
          </w:p>
        </w:tc>
        <w:tc>
          <w:tcPr>
            <w:tcW w:w="485" w:type="pct"/>
            <w:tcBorders>
              <w:top w:val="single" w:color="000000" w:sz="4" w:space="0"/>
              <w:left w:val="nil"/>
              <w:bottom w:val="single" w:color="000000" w:sz="4" w:space="0"/>
              <w:right w:val="single" w:color="000000" w:sz="4" w:space="0"/>
            </w:tcBorders>
            <w:vAlign w:val="center"/>
          </w:tcPr>
          <w:p w14:paraId="64346209">
            <w:pPr>
              <w:adjustRightInd/>
              <w:spacing w:line="240" w:lineRule="auto"/>
              <w:jc w:val="center"/>
              <w:rPr>
                <w:rFonts w:hint="default" w:ascii="Times New Roman" w:hAnsi="Times New Roman" w:cs="Times New Roman"/>
                <w:color w:val="000000"/>
                <w:sz w:val="18"/>
                <w:szCs w:val="18"/>
              </w:rPr>
            </w:pPr>
          </w:p>
        </w:tc>
      </w:tr>
      <w:tr w14:paraId="3C26FCCB">
        <w:tblPrEx>
          <w:tblCellMar>
            <w:top w:w="0" w:type="dxa"/>
            <w:left w:w="108" w:type="dxa"/>
            <w:bottom w:w="0" w:type="dxa"/>
            <w:right w:w="108" w:type="dxa"/>
          </w:tblCellMar>
        </w:tblPrEx>
        <w:trPr>
          <w:trHeight w:val="340" w:hRule="atLeast"/>
          <w:jc w:val="center"/>
        </w:trPr>
        <w:tc>
          <w:tcPr>
            <w:tcW w:w="382" w:type="pct"/>
            <w:vMerge w:val="continue"/>
            <w:tcBorders>
              <w:top w:val="nil"/>
              <w:left w:val="single" w:color="000000" w:sz="4" w:space="0"/>
              <w:bottom w:val="single" w:color="auto" w:sz="4" w:space="0"/>
              <w:right w:val="single" w:color="000000" w:sz="4" w:space="0"/>
            </w:tcBorders>
            <w:vAlign w:val="center"/>
          </w:tcPr>
          <w:p w14:paraId="0673CCBD">
            <w:pPr>
              <w:widowControl/>
              <w:adjustRightInd/>
              <w:spacing w:line="240" w:lineRule="auto"/>
              <w:jc w:val="left"/>
              <w:rPr>
                <w:rFonts w:hint="default" w:ascii="Times New Roman" w:hAnsi="Times New Roman" w:cs="Times New Roman"/>
                <w:color w:val="000000"/>
                <w:sz w:val="18"/>
                <w:szCs w:val="18"/>
              </w:rPr>
            </w:pPr>
          </w:p>
        </w:tc>
        <w:tc>
          <w:tcPr>
            <w:tcW w:w="444" w:type="pct"/>
            <w:vMerge w:val="continue"/>
            <w:tcBorders>
              <w:top w:val="nil"/>
              <w:left w:val="nil"/>
              <w:bottom w:val="single" w:color="auto" w:sz="4" w:space="0"/>
              <w:right w:val="single" w:color="000000" w:sz="4" w:space="0"/>
            </w:tcBorders>
            <w:vAlign w:val="center"/>
          </w:tcPr>
          <w:p w14:paraId="23822330">
            <w:pPr>
              <w:widowControl/>
              <w:adjustRightInd/>
              <w:spacing w:line="240" w:lineRule="auto"/>
              <w:jc w:val="left"/>
              <w:rPr>
                <w:rFonts w:hint="default" w:ascii="Times New Roman" w:hAnsi="Times New Roman" w:cs="Times New Roman"/>
                <w:color w:val="000000"/>
                <w:sz w:val="18"/>
                <w:szCs w:val="18"/>
              </w:rPr>
            </w:pPr>
          </w:p>
        </w:tc>
        <w:tc>
          <w:tcPr>
            <w:tcW w:w="502" w:type="pct"/>
            <w:vMerge w:val="continue"/>
            <w:tcBorders>
              <w:top w:val="nil"/>
              <w:left w:val="nil"/>
              <w:bottom w:val="single" w:color="auto" w:sz="4" w:space="0"/>
              <w:right w:val="single" w:color="000000" w:sz="4" w:space="0"/>
            </w:tcBorders>
            <w:vAlign w:val="center"/>
          </w:tcPr>
          <w:p w14:paraId="528CA893">
            <w:pPr>
              <w:widowControl/>
              <w:adjustRightInd/>
              <w:spacing w:line="240" w:lineRule="auto"/>
              <w:jc w:val="left"/>
              <w:rPr>
                <w:rFonts w:hint="default" w:ascii="Times New Roman" w:hAnsi="Times New Roman" w:cs="Times New Roman"/>
                <w:color w:val="000000"/>
                <w:sz w:val="18"/>
                <w:szCs w:val="18"/>
              </w:rPr>
            </w:pPr>
          </w:p>
        </w:tc>
        <w:tc>
          <w:tcPr>
            <w:tcW w:w="404" w:type="pct"/>
            <w:vMerge w:val="continue"/>
            <w:tcBorders>
              <w:top w:val="nil"/>
              <w:left w:val="nil"/>
              <w:bottom w:val="single" w:color="auto" w:sz="4" w:space="0"/>
              <w:right w:val="single" w:color="000000" w:sz="4" w:space="0"/>
            </w:tcBorders>
            <w:vAlign w:val="center"/>
          </w:tcPr>
          <w:p w14:paraId="792BFBD2">
            <w:pPr>
              <w:widowControl/>
              <w:adjustRightInd/>
              <w:spacing w:line="240" w:lineRule="auto"/>
              <w:jc w:val="left"/>
              <w:rPr>
                <w:rFonts w:hint="default" w:ascii="Times New Roman" w:hAnsi="Times New Roman" w:cs="Times New Roman"/>
                <w:color w:val="000000"/>
                <w:sz w:val="18"/>
                <w:szCs w:val="18"/>
              </w:rPr>
            </w:pPr>
          </w:p>
        </w:tc>
        <w:tc>
          <w:tcPr>
            <w:tcW w:w="505" w:type="pct"/>
            <w:vMerge w:val="continue"/>
            <w:tcBorders>
              <w:top w:val="nil"/>
              <w:left w:val="nil"/>
              <w:bottom w:val="single" w:color="auto" w:sz="4" w:space="0"/>
              <w:right w:val="single" w:color="000000" w:sz="4" w:space="0"/>
            </w:tcBorders>
            <w:vAlign w:val="center"/>
          </w:tcPr>
          <w:p w14:paraId="2768A120">
            <w:pPr>
              <w:widowControl/>
              <w:adjustRightInd/>
              <w:spacing w:line="240" w:lineRule="auto"/>
              <w:jc w:val="left"/>
              <w:rPr>
                <w:rFonts w:hint="default" w:ascii="Times New Roman" w:hAnsi="Times New Roman" w:cs="Times New Roman"/>
                <w:color w:val="000000"/>
                <w:sz w:val="18"/>
                <w:szCs w:val="18"/>
              </w:rPr>
            </w:pPr>
          </w:p>
        </w:tc>
        <w:tc>
          <w:tcPr>
            <w:tcW w:w="302" w:type="pct"/>
            <w:tcBorders>
              <w:top w:val="single" w:color="000000" w:sz="4" w:space="0"/>
              <w:left w:val="nil"/>
              <w:bottom w:val="single" w:color="000000" w:sz="4" w:space="0"/>
              <w:right w:val="single" w:color="000000" w:sz="4" w:space="0"/>
            </w:tcBorders>
            <w:vAlign w:val="center"/>
          </w:tcPr>
          <w:p w14:paraId="73FA0996">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低</w:t>
            </w:r>
          </w:p>
        </w:tc>
        <w:tc>
          <w:tcPr>
            <w:tcW w:w="244" w:type="pct"/>
            <w:tcBorders>
              <w:top w:val="single" w:color="000000" w:sz="4" w:space="0"/>
              <w:left w:val="nil"/>
              <w:bottom w:val="single" w:color="000000" w:sz="4" w:space="0"/>
              <w:right w:val="single" w:color="000000" w:sz="4" w:space="0"/>
            </w:tcBorders>
            <w:vAlign w:val="center"/>
          </w:tcPr>
          <w:p w14:paraId="5A4EABD6">
            <w:pPr>
              <w:adjustRightInd/>
              <w:spacing w:line="240" w:lineRule="auto"/>
              <w:jc w:val="center"/>
              <w:rPr>
                <w:rFonts w:hint="default" w:ascii="Times New Roman" w:hAnsi="Times New Roman" w:cs="Times New Roman"/>
                <w:color w:val="000000"/>
                <w:sz w:val="18"/>
                <w:szCs w:val="18"/>
              </w:rPr>
            </w:pPr>
          </w:p>
        </w:tc>
        <w:tc>
          <w:tcPr>
            <w:tcW w:w="294" w:type="pct"/>
            <w:tcBorders>
              <w:top w:val="single" w:color="000000" w:sz="4" w:space="0"/>
              <w:left w:val="nil"/>
              <w:bottom w:val="single" w:color="000000" w:sz="4" w:space="0"/>
              <w:right w:val="single" w:color="000000" w:sz="4" w:space="0"/>
            </w:tcBorders>
            <w:vAlign w:val="center"/>
          </w:tcPr>
          <w:p w14:paraId="172323C3">
            <w:pPr>
              <w:adjustRightInd/>
              <w:spacing w:line="240" w:lineRule="auto"/>
              <w:jc w:val="center"/>
              <w:rPr>
                <w:rFonts w:hint="default" w:ascii="Times New Roman" w:hAnsi="Times New Roman" w:cs="Times New Roman"/>
                <w:color w:val="000000"/>
                <w:sz w:val="18"/>
                <w:szCs w:val="18"/>
              </w:rPr>
            </w:pPr>
          </w:p>
        </w:tc>
        <w:tc>
          <w:tcPr>
            <w:tcW w:w="268" w:type="pct"/>
            <w:tcBorders>
              <w:top w:val="single" w:color="000000" w:sz="4" w:space="0"/>
              <w:left w:val="nil"/>
              <w:bottom w:val="single" w:color="000000" w:sz="4" w:space="0"/>
              <w:right w:val="single" w:color="000000" w:sz="4" w:space="0"/>
            </w:tcBorders>
            <w:vAlign w:val="center"/>
          </w:tcPr>
          <w:p w14:paraId="3A1F9C59">
            <w:pPr>
              <w:adjustRightInd/>
              <w:spacing w:line="240" w:lineRule="auto"/>
              <w:jc w:val="center"/>
              <w:rPr>
                <w:rFonts w:hint="default" w:ascii="Times New Roman" w:hAnsi="Times New Roman" w:cs="Times New Roman"/>
                <w:color w:val="000000"/>
                <w:sz w:val="18"/>
                <w:szCs w:val="18"/>
              </w:rPr>
            </w:pPr>
          </w:p>
        </w:tc>
        <w:tc>
          <w:tcPr>
            <w:tcW w:w="332" w:type="pct"/>
            <w:tcBorders>
              <w:top w:val="single" w:color="000000" w:sz="4" w:space="0"/>
              <w:left w:val="nil"/>
              <w:bottom w:val="single" w:color="000000" w:sz="4" w:space="0"/>
              <w:right w:val="single" w:color="000000" w:sz="4" w:space="0"/>
            </w:tcBorders>
            <w:vAlign w:val="center"/>
          </w:tcPr>
          <w:p w14:paraId="69BDD81F">
            <w:pPr>
              <w:widowControl/>
              <w:adjustRightInd/>
              <w:spacing w:line="240" w:lineRule="auto"/>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kern w:val="0"/>
                <w:sz w:val="18"/>
                <w:szCs w:val="18"/>
              </w:rPr>
              <w:t>9</w:t>
            </w:r>
          </w:p>
        </w:tc>
        <w:tc>
          <w:tcPr>
            <w:tcW w:w="264" w:type="pct"/>
            <w:tcBorders>
              <w:top w:val="single" w:color="000000" w:sz="4" w:space="0"/>
              <w:left w:val="nil"/>
              <w:bottom w:val="single" w:color="000000" w:sz="4" w:space="0"/>
              <w:right w:val="single" w:color="000000" w:sz="4" w:space="0"/>
            </w:tcBorders>
            <w:vAlign w:val="center"/>
          </w:tcPr>
          <w:p w14:paraId="33191CA4">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27.22</w:t>
            </w:r>
          </w:p>
        </w:tc>
        <w:tc>
          <w:tcPr>
            <w:tcW w:w="268" w:type="pct"/>
            <w:tcBorders>
              <w:top w:val="single" w:color="000000" w:sz="4" w:space="0"/>
              <w:left w:val="nil"/>
              <w:bottom w:val="single" w:color="000000" w:sz="4" w:space="0"/>
              <w:right w:val="single" w:color="000000" w:sz="4" w:space="0"/>
            </w:tcBorders>
            <w:vAlign w:val="center"/>
          </w:tcPr>
          <w:p w14:paraId="656C9153">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9.6</w:t>
            </w:r>
          </w:p>
        </w:tc>
        <w:tc>
          <w:tcPr>
            <w:tcW w:w="306" w:type="pct"/>
            <w:tcBorders>
              <w:top w:val="single" w:color="000000" w:sz="4" w:space="0"/>
              <w:left w:val="nil"/>
              <w:bottom w:val="single" w:color="000000" w:sz="4" w:space="0"/>
              <w:right w:val="single" w:color="000000" w:sz="4" w:space="0"/>
            </w:tcBorders>
            <w:vAlign w:val="center"/>
          </w:tcPr>
          <w:p w14:paraId="110FFD83">
            <w:pPr>
              <w:widowControl/>
              <w:adjustRightInd/>
              <w:spacing w:line="240" w:lineRule="auto"/>
              <w:jc w:val="center"/>
              <w:textAlignment w:val="center"/>
              <w:rPr>
                <w:rFonts w:hint="default" w:ascii="Times New Roman" w:hAnsi="Times New Roman" w:cs="Times New Roman"/>
                <w:color w:val="000000"/>
                <w:kern w:val="0"/>
                <w:sz w:val="18"/>
                <w:szCs w:val="18"/>
              </w:rPr>
            </w:pPr>
            <w:r>
              <w:rPr>
                <w:rFonts w:hint="default" w:ascii="Times New Roman" w:hAnsi="Times New Roman" w:cs="Times New Roman"/>
                <w:color w:val="000000"/>
                <w:kern w:val="0"/>
                <w:sz w:val="18"/>
                <w:szCs w:val="18"/>
              </w:rPr>
              <w:t>11.18</w:t>
            </w:r>
          </w:p>
        </w:tc>
        <w:tc>
          <w:tcPr>
            <w:tcW w:w="485" w:type="pct"/>
            <w:tcBorders>
              <w:top w:val="single" w:color="000000" w:sz="4" w:space="0"/>
              <w:left w:val="nil"/>
              <w:bottom w:val="single" w:color="000000" w:sz="4" w:space="0"/>
              <w:right w:val="single" w:color="000000" w:sz="4" w:space="0"/>
            </w:tcBorders>
            <w:vAlign w:val="center"/>
          </w:tcPr>
          <w:p w14:paraId="2D7D54B2">
            <w:pPr>
              <w:adjustRightInd/>
              <w:spacing w:line="240" w:lineRule="auto"/>
              <w:jc w:val="center"/>
              <w:rPr>
                <w:rFonts w:hint="default" w:ascii="Times New Roman" w:hAnsi="Times New Roman" w:cs="Times New Roman"/>
                <w:color w:val="000000"/>
                <w:sz w:val="18"/>
                <w:szCs w:val="18"/>
              </w:rPr>
            </w:pPr>
          </w:p>
        </w:tc>
      </w:tr>
      <w:tr w14:paraId="41AA505C">
        <w:tblPrEx>
          <w:tblCellMar>
            <w:top w:w="0" w:type="dxa"/>
            <w:left w:w="108" w:type="dxa"/>
            <w:bottom w:w="0" w:type="dxa"/>
            <w:right w:w="108" w:type="dxa"/>
          </w:tblCellMar>
        </w:tblPrEx>
        <w:trPr>
          <w:trHeight w:val="340" w:hRule="atLeast"/>
          <w:jc w:val="center"/>
        </w:trPr>
        <w:tc>
          <w:tcPr>
            <w:tcW w:w="5000" w:type="pct"/>
            <w:gridSpan w:val="14"/>
            <w:tcBorders>
              <w:top w:val="single" w:color="auto" w:sz="4" w:space="0"/>
              <w:left w:val="single" w:color="auto" w:sz="4" w:space="0"/>
              <w:bottom w:val="single" w:color="auto" w:sz="4" w:space="0"/>
              <w:right w:val="single" w:color="000000" w:sz="4" w:space="0"/>
            </w:tcBorders>
            <w:vAlign w:val="center"/>
          </w:tcPr>
          <w:p w14:paraId="6CE8FFCD">
            <w:pPr>
              <w:widowControl/>
              <w:tabs>
                <w:tab w:val="center" w:pos="4201"/>
                <w:tab w:val="right" w:leader="dot" w:pos="9298"/>
              </w:tabs>
              <w:autoSpaceDE w:val="0"/>
              <w:autoSpaceDN w:val="0"/>
              <w:adjustRightInd/>
              <w:spacing w:line="240" w:lineRule="auto"/>
              <w:rPr>
                <w:rFonts w:hint="default" w:ascii="Times New Roman" w:hAnsi="Times New Roman" w:cs="Times New Roman"/>
                <w:color w:val="000000"/>
                <w:sz w:val="18"/>
                <w:szCs w:val="18"/>
              </w:rPr>
            </w:pPr>
            <w:r>
              <w:rPr>
                <w:rFonts w:hint="default" w:ascii="Times New Roman" w:hAnsi="Times New Roman" w:cs="Times New Roman"/>
                <w:kern w:val="0"/>
                <w:sz w:val="18"/>
                <w:szCs w:val="18"/>
              </w:rPr>
              <w:t>注：表中灌水定额及灌水量为田间净灌溉用水量。</w:t>
            </w:r>
          </w:p>
        </w:tc>
      </w:tr>
    </w:tbl>
    <w:p w14:paraId="4DAB7646">
      <w:pPr>
        <w:widowControl/>
        <w:adjustRightInd/>
        <w:spacing w:line="240" w:lineRule="auto"/>
        <w:jc w:val="left"/>
        <w:rPr>
          <w:rFonts w:hint="default" w:ascii="Times New Roman" w:hAnsi="Times New Roman" w:cs="Times New Roman"/>
          <w:color w:val="000000"/>
          <w:kern w:val="0"/>
        </w:rPr>
      </w:pPr>
    </w:p>
    <w:p w14:paraId="12D64964">
      <w:pPr>
        <w:pStyle w:val="232"/>
        <w:rPr>
          <w:rFonts w:hint="default" w:ascii="Times New Roman" w:hAnsi="Times New Roman" w:cs="Times New Roman"/>
          <w:color w:val="000000"/>
        </w:rPr>
        <w:sectPr>
          <w:pgSz w:w="16838" w:h="11906" w:orient="landscape"/>
          <w:pgMar w:top="1134" w:right="1928" w:bottom="1134" w:left="1134" w:header="1418" w:footer="1134" w:gutter="284"/>
          <w:cols w:space="425" w:num="1"/>
          <w:formProt w:val="0"/>
          <w:docGrid w:type="lines" w:linePitch="312" w:charSpace="0"/>
        </w:sectPr>
      </w:pPr>
    </w:p>
    <w:p w14:paraId="1E6712DD">
      <w:pPr>
        <w:pStyle w:val="106"/>
        <w:spacing w:before="312" w:after="312"/>
        <w:rPr>
          <w:rFonts w:hint="default" w:ascii="Times New Roman" w:hAnsi="Times New Roman" w:cs="Times New Roman"/>
        </w:rPr>
      </w:pPr>
      <w:r>
        <w:rPr>
          <w:rFonts w:hint="default" w:ascii="Times New Roman" w:hAnsi="Times New Roman" w:cs="Times New Roman"/>
        </w:rPr>
        <w:t>运行与维护</w:t>
      </w:r>
    </w:p>
    <w:p w14:paraId="734B7130">
      <w:pPr>
        <w:pStyle w:val="107"/>
        <w:spacing w:before="156" w:after="156"/>
        <w:ind w:left="0"/>
        <w:rPr>
          <w:rFonts w:hint="default" w:ascii="Times New Roman" w:hAnsi="Times New Roman" w:cs="Times New Roman"/>
        </w:rPr>
      </w:pPr>
      <w:r>
        <w:rPr>
          <w:rFonts w:hint="default" w:ascii="Times New Roman" w:hAnsi="Times New Roman" w:cs="Times New Roman"/>
        </w:rPr>
        <w:t>过滤设备</w:t>
      </w:r>
    </w:p>
    <w:p w14:paraId="30423487">
      <w:pPr>
        <w:pStyle w:val="67"/>
        <w:spacing w:before="156" w:after="156"/>
        <w:rPr>
          <w:rFonts w:hint="default" w:ascii="Times New Roman" w:hAnsi="Times New Roman" w:cs="Times New Roman"/>
        </w:rPr>
      </w:pPr>
      <w:r>
        <w:rPr>
          <w:rFonts w:hint="default" w:ascii="Times New Roman" w:hAnsi="Times New Roman" w:cs="Times New Roman"/>
        </w:rPr>
        <w:t>运行要求</w:t>
      </w:r>
    </w:p>
    <w:p w14:paraId="76E5DCB5">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开启水泵前检查过滤器各部位是否正常；网式过滤器抽出网芯检查有无砂粒和破损；各个阀门此时处于关闭状态，确认无误后再启动水泵。</w:t>
      </w:r>
    </w:p>
    <w:p w14:paraId="6B50F866">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缓慢开启水泵与过滤器间的控制阀，再开启过滤器后侧的控制阀，使其与前一阀门处于同一开度，检查过滤系统两压力表之间的压差是否正常，确认无误后，将流量控制在设计流量70%～80%，正常后按设计流量运行。</w:t>
      </w:r>
    </w:p>
    <w:p w14:paraId="1C564995">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过滤器在运行中，对仪表进行检查，并对运行情况做好记录，出现意外事故，立即关泵检查，排除故障后再运行。</w:t>
      </w:r>
    </w:p>
    <w:p w14:paraId="35519B97">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 xml:space="preserve">离心和网式过滤器与施肥装置组成的系统进出口压差≥0.05MPa进行反冲洗。 </w:t>
      </w:r>
    </w:p>
    <w:p w14:paraId="16CACE1E">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砂石过滤器和网式过滤器与施肥装置组成的系统，砂石过滤器进出口压差≥0.05MPa进行反冲洗；网式过滤器进出口压差≥0.03MPa进行反冲洗。</w:t>
      </w:r>
    </w:p>
    <w:p w14:paraId="7D521BB4">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砂石过滤器和叠片过滤器与施肥装置组成的系统，砂石过滤器进出口压差≥0.05MPa进行反冲洗，叠片过滤器进出口压差≥0.04MPa进行反冲洗。</w:t>
      </w:r>
    </w:p>
    <w:p w14:paraId="51FDBB2E">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停灌后缓慢关闭过滤器后部控制阀门，对过滤器进行冲洗，及时更换过滤介质。</w:t>
      </w:r>
    </w:p>
    <w:p w14:paraId="0E02B80B">
      <w:pPr>
        <w:pStyle w:val="67"/>
        <w:spacing w:before="156" w:after="156"/>
        <w:rPr>
          <w:rFonts w:hint="default" w:ascii="Times New Roman" w:hAnsi="Times New Roman" w:cs="Times New Roman"/>
        </w:rPr>
      </w:pPr>
      <w:r>
        <w:rPr>
          <w:rFonts w:hint="default" w:ascii="Times New Roman" w:hAnsi="Times New Roman" w:cs="Times New Roman"/>
        </w:rPr>
        <w:t>手动冲洗方法</w:t>
      </w:r>
    </w:p>
    <w:p w14:paraId="195B39CB">
      <w:pPr>
        <w:pStyle w:val="96"/>
        <w:spacing w:before="156" w:after="156"/>
        <w:rPr>
          <w:rFonts w:hint="default" w:ascii="Times New Roman" w:hAnsi="Times New Roman" w:cs="Times New Roman"/>
        </w:rPr>
      </w:pPr>
      <w:r>
        <w:rPr>
          <w:rFonts w:hint="default" w:ascii="Times New Roman" w:hAnsi="Times New Roman" w:cs="Times New Roman"/>
        </w:rPr>
        <w:t>离心式过滤器</w:t>
      </w:r>
    </w:p>
    <w:p w14:paraId="5BC4D246">
      <w:pPr>
        <w:pStyle w:val="232"/>
        <w:rPr>
          <w:rFonts w:hint="default" w:ascii="Times New Roman" w:hAnsi="Times New Roman" w:cs="Times New Roman"/>
          <w:color w:val="000000"/>
        </w:rPr>
      </w:pPr>
      <w:r>
        <w:rPr>
          <w:rFonts w:hint="default" w:ascii="Times New Roman" w:hAnsi="Times New Roman" w:cs="Times New Roman"/>
          <w:color w:val="000000"/>
        </w:rPr>
        <w:t>系统工作结束时，缓慢打开储砂罐排污球阀，排砂完毕后，关闭排污口。</w:t>
      </w:r>
    </w:p>
    <w:p w14:paraId="28C3A3BE">
      <w:pPr>
        <w:pStyle w:val="96"/>
        <w:spacing w:before="156" w:after="156"/>
        <w:rPr>
          <w:rFonts w:hint="default" w:ascii="Times New Roman" w:hAnsi="Times New Roman" w:cs="Times New Roman"/>
        </w:rPr>
      </w:pPr>
      <w:r>
        <w:rPr>
          <w:rFonts w:hint="default" w:ascii="Times New Roman" w:hAnsi="Times New Roman" w:cs="Times New Roman"/>
        </w:rPr>
        <w:t>网式过滤器</w:t>
      </w:r>
    </w:p>
    <w:p w14:paraId="746D8178">
      <w:pPr>
        <w:pStyle w:val="232"/>
        <w:rPr>
          <w:rFonts w:hint="default" w:ascii="Times New Roman" w:hAnsi="Times New Roman" w:cs="Times New Roman"/>
          <w:color w:val="000000"/>
        </w:rPr>
      </w:pPr>
      <w:r>
        <w:rPr>
          <w:rFonts w:hint="default" w:ascii="Times New Roman" w:hAnsi="Times New Roman" w:cs="Times New Roman"/>
          <w:color w:val="000000"/>
        </w:rPr>
        <w:t>关闭其中一个网式过滤器的进水口蝶阀 ，打开冲洗口球阀，待排出水清洁后，关闭冲洗口球阀，打开进水口蝶阀。依次对其他网式过滤器进行冲洗；多组网式过滤器可同时进行冲洗。</w:t>
      </w:r>
    </w:p>
    <w:p w14:paraId="280CC371">
      <w:pPr>
        <w:pStyle w:val="96"/>
        <w:spacing w:before="156" w:after="156"/>
        <w:rPr>
          <w:rFonts w:hint="default" w:ascii="Times New Roman" w:hAnsi="Times New Roman" w:cs="Times New Roman"/>
        </w:rPr>
      </w:pPr>
      <w:r>
        <w:rPr>
          <w:rFonts w:hint="default" w:ascii="Times New Roman" w:hAnsi="Times New Roman" w:cs="Times New Roman"/>
        </w:rPr>
        <w:t>砂石过滤器</w:t>
      </w:r>
    </w:p>
    <w:p w14:paraId="0CB2A0CB">
      <w:pPr>
        <w:pStyle w:val="232"/>
        <w:rPr>
          <w:rFonts w:hint="default" w:ascii="Times New Roman" w:hAnsi="Times New Roman" w:cs="Times New Roman"/>
          <w:color w:val="000000"/>
        </w:rPr>
      </w:pPr>
      <w:r>
        <w:rPr>
          <w:rFonts w:hint="default" w:ascii="Times New Roman" w:hAnsi="Times New Roman" w:cs="Times New Roman"/>
          <w:color w:val="000000"/>
        </w:rPr>
        <w:t>系统工作时，调整首部总阀的开启度，获得适当的反冲洗压力；可关闭一组过滤器进水口的一个蝶阀，同时打开相应排水蝶阀排污口，由另一只过滤器过滤后的水由过滤器下方向上流入介质层进行反冲洗，直到排出无浑浊物的水为止。反冲洗的时间和次数依据水质情况确定；反冲洗完毕后，应先关闭排污口，缓慢打开蝶阀使砂床稳定压实；稍后对另一个过滤器进行反冲洗。</w:t>
      </w:r>
    </w:p>
    <w:p w14:paraId="3BCF3DF3">
      <w:pPr>
        <w:pStyle w:val="96"/>
        <w:spacing w:before="156" w:after="156"/>
        <w:rPr>
          <w:rFonts w:hint="default" w:ascii="Times New Roman" w:hAnsi="Times New Roman" w:cs="Times New Roman"/>
        </w:rPr>
      </w:pPr>
      <w:r>
        <w:rPr>
          <w:rFonts w:hint="default" w:ascii="Times New Roman" w:hAnsi="Times New Roman" w:cs="Times New Roman"/>
        </w:rPr>
        <w:t>叠片过滤器</w:t>
      </w:r>
    </w:p>
    <w:p w14:paraId="18886195">
      <w:pPr>
        <w:pStyle w:val="232"/>
        <w:rPr>
          <w:rFonts w:hint="default" w:ascii="Times New Roman" w:hAnsi="Times New Roman" w:cs="Times New Roman"/>
          <w:color w:val="000000"/>
        </w:rPr>
      </w:pPr>
      <w:r>
        <w:rPr>
          <w:rFonts w:hint="default" w:ascii="Times New Roman" w:hAnsi="Times New Roman" w:cs="Times New Roman"/>
          <w:color w:val="000000"/>
        </w:rPr>
        <w:t>关闭出水阀，打开进水阀和排污水阀，打开辅助反冲洗压缩空气阀门，确认进水压力≥0.08 MPa，开始系统反冲洗，冲洗2次～3次，直至出水清澈；冲洗结束后慢慢开启出水阀。</w:t>
      </w:r>
    </w:p>
    <w:p w14:paraId="43143D7D">
      <w:pPr>
        <w:pStyle w:val="67"/>
        <w:spacing w:before="156" w:after="156"/>
        <w:rPr>
          <w:rFonts w:hint="default" w:ascii="Times New Roman" w:hAnsi="Times New Roman" w:cs="Times New Roman"/>
        </w:rPr>
      </w:pPr>
      <w:r>
        <w:rPr>
          <w:rFonts w:hint="default" w:ascii="Times New Roman" w:hAnsi="Times New Roman" w:cs="Times New Roman"/>
        </w:rPr>
        <w:t>维护方法</w:t>
      </w:r>
    </w:p>
    <w:p w14:paraId="7A87AC43">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网式过滤器的滤网损坏后及时修复或更换，经常清理网芯及其两端保护密封圈。</w:t>
      </w:r>
    </w:p>
    <w:p w14:paraId="41E88DF6">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离心过滤器集砂罐设有排砂口，经常检查集砂罐，定时排砂；冬季打开所有阀门，把水排干净，拆除压力表等仪表装置并妥善保管。</w:t>
      </w:r>
    </w:p>
    <w:p w14:paraId="119AE785">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叠片过滤器，将过滤器拆开拿出叠片置于清水中清洗、清洗干净后把叠片放回，盖上过滤器盖子用封闭阀封闭；每年灌期结束后，将滤芯取出妥善保管。</w:t>
      </w:r>
    </w:p>
    <w:p w14:paraId="7EB081ED">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每年对砂石过滤器彻底清洗1次。由有机物和藻类产生的堵塞，采用在水中按比例加入氯或酸，浸泡过滤器24h，然后反冲洗直到放出清水；人工清除过滤器中结块沙子和污物，必要时可取出全部砂石，彻底冲洗后再重新逐层装填，并及时补充缺失的相应粒径砂子。</w:t>
      </w:r>
    </w:p>
    <w:p w14:paraId="54754C2B">
      <w:pPr>
        <w:pStyle w:val="107"/>
        <w:spacing w:before="156" w:after="156"/>
        <w:ind w:left="0"/>
        <w:rPr>
          <w:rFonts w:hint="default" w:ascii="Times New Roman" w:hAnsi="Times New Roman" w:cs="Times New Roman"/>
        </w:rPr>
      </w:pPr>
      <w:r>
        <w:rPr>
          <w:rFonts w:hint="default" w:ascii="Times New Roman" w:hAnsi="Times New Roman" w:cs="Times New Roman"/>
        </w:rPr>
        <w:t>施肥设备</w:t>
      </w:r>
    </w:p>
    <w:p w14:paraId="32F7FD31">
      <w:pPr>
        <w:pStyle w:val="67"/>
        <w:spacing w:before="156" w:after="156"/>
        <w:rPr>
          <w:rFonts w:hint="default" w:ascii="Times New Roman" w:hAnsi="Times New Roman" w:cs="Times New Roman"/>
        </w:rPr>
      </w:pPr>
      <w:r>
        <w:rPr>
          <w:rFonts w:hint="default" w:ascii="Times New Roman" w:hAnsi="Times New Roman" w:cs="Times New Roman"/>
        </w:rPr>
        <w:t>运行要求</w:t>
      </w:r>
    </w:p>
    <w:p w14:paraId="6EB90608">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准备各类型肥料；检查施肥设备。</w:t>
      </w:r>
    </w:p>
    <w:p w14:paraId="4B295AD0">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在1/4的灌水时间时开始滴施，到3/4灌水时间时停止施肥，用清水冲洗管网及灌水器。</w:t>
      </w:r>
    </w:p>
    <w:p w14:paraId="0C8DCBC9">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施肥泵进出水口与管线进出水口一致，分别在施肥泵进水口和出水口安装阀门，将施肥泵的吸液管放到施肥罐内，确保吸液管不贴在容器壁和容器底。</w:t>
      </w:r>
    </w:p>
    <w:p w14:paraId="36CF98EA">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取出施肥泵刻度筒上部的“U”型调节锁，调节施肥泵上的刻度达到吸入药液与进水口水量比值的预设值，然后将“U”型调节锁锁上扣紧，开始施肥。</w:t>
      </w:r>
    </w:p>
    <w:p w14:paraId="552A1A01">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在施肥罐内肥液全部施用完毕后注入清水，使施肥泵继续工作一段时间，使施肥泵内部得到充分地清洗，并清洁施肥泵外表面。</w:t>
      </w:r>
    </w:p>
    <w:p w14:paraId="4B347FC4">
      <w:pPr>
        <w:pStyle w:val="67"/>
        <w:spacing w:before="156" w:after="156"/>
        <w:rPr>
          <w:rFonts w:hint="default" w:ascii="Times New Roman" w:hAnsi="Times New Roman" w:cs="Times New Roman"/>
        </w:rPr>
      </w:pPr>
      <w:r>
        <w:rPr>
          <w:rFonts w:hint="default" w:ascii="Times New Roman" w:hAnsi="Times New Roman" w:cs="Times New Roman"/>
        </w:rPr>
        <w:t>维护方法</w:t>
      </w:r>
    </w:p>
    <w:p w14:paraId="38164F28">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关闭水泵， 开启与主管道相连的注肥口和驱动注肥系统的进水口，排去压力；用清水洗净施肥罐及注肥泵，按照相关说明打开注肥泵，取出注肥泵驱动活塞， 用润滑油进行正常的润滑保养，然后擦拭干净各部件后重新组装好。</w:t>
      </w:r>
    </w:p>
    <w:p w14:paraId="4AE779E9">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轮灌组变更前，对管网进行冲洗，时间≥20min，避免肥料在管内沉积。</w:t>
      </w:r>
    </w:p>
    <w:p w14:paraId="2D3CCB51">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每次施肥完毕后，对施肥设备进行冲洗。</w:t>
      </w:r>
    </w:p>
    <w:p w14:paraId="1050BCF1">
      <w:pPr>
        <w:pStyle w:val="107"/>
        <w:spacing w:before="156" w:after="156"/>
        <w:ind w:left="0"/>
        <w:rPr>
          <w:rFonts w:hint="default" w:ascii="Times New Roman" w:hAnsi="Times New Roman" w:cs="Times New Roman"/>
        </w:rPr>
      </w:pPr>
      <w:r>
        <w:rPr>
          <w:rFonts w:hint="default" w:ascii="Times New Roman" w:hAnsi="Times New Roman" w:cs="Times New Roman"/>
        </w:rPr>
        <w:t>管网系统</w:t>
      </w:r>
    </w:p>
    <w:p w14:paraId="046D2D37">
      <w:pPr>
        <w:pStyle w:val="67"/>
        <w:spacing w:before="156" w:after="156"/>
        <w:rPr>
          <w:rFonts w:hint="default" w:ascii="Times New Roman" w:hAnsi="Times New Roman" w:cs="Times New Roman"/>
        </w:rPr>
      </w:pPr>
      <w:r>
        <w:rPr>
          <w:rFonts w:hint="default" w:ascii="Times New Roman" w:hAnsi="Times New Roman" w:cs="Times New Roman"/>
        </w:rPr>
        <w:t>运行要求</w:t>
      </w:r>
    </w:p>
    <w:p w14:paraId="6B6C4B47">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每个灌溉期开始前检查地面管网、各级阀门、连接管件是否有缺损，如有缺损应及时更换或修理。</w:t>
      </w:r>
    </w:p>
    <w:p w14:paraId="3490DAC1">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每个灌溉期开始前对管网进行冲洗，冲洗时先打开系统枢纽总控制阀和待冲洗管道的阀门，关闭其他阀门，然后启动水泵，对干管进行冲洗，直到干管末端出清水为止，关闭干管末端阀门。打开一个轮灌组的各支管进口和末端阀门，进行支管冲洗；然后关闭支管末端阀门冲洗毛管，要求滴灌带末端出清水为止；最后再进行下一个轮灌组的冲洗。</w:t>
      </w:r>
    </w:p>
    <w:p w14:paraId="3424F09C">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灌水时按照设计的轮灌制度开启阀门，禁止同时开启多个阀门；每次开启一个轮灌组进行灌溉，当一个轮灌组灌溉结束后，先开启下一个轮灌组阀门，再关闭当前轮灌组阀门，“先启后关”。</w:t>
      </w:r>
    </w:p>
    <w:p w14:paraId="082F69FD">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单次滴灌延续时间，根据工程设计轮灌工作制度确定。</w:t>
      </w:r>
    </w:p>
    <w:p w14:paraId="1E01D62B">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灌水期间定期检查滴灌带的工作状况，对损坏或漏水严重的滴灌带及时修复。</w:t>
      </w:r>
    </w:p>
    <w:p w14:paraId="4781FF7F">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灌溉期结束后，收回支管和滴灌带，并打开主管道系统的泄水阀，排净积水。</w:t>
      </w:r>
    </w:p>
    <w:p w14:paraId="613376BD">
      <w:pPr>
        <w:pStyle w:val="67"/>
        <w:spacing w:before="156" w:after="156"/>
        <w:rPr>
          <w:rFonts w:hint="default" w:ascii="Times New Roman" w:hAnsi="Times New Roman" w:cs="Times New Roman"/>
        </w:rPr>
      </w:pPr>
      <w:r>
        <w:rPr>
          <w:rFonts w:hint="default" w:ascii="Times New Roman" w:hAnsi="Times New Roman" w:cs="Times New Roman"/>
        </w:rPr>
        <w:t>维护方法</w:t>
      </w:r>
    </w:p>
    <w:p w14:paraId="0E5F1511">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主管管网灌溉前第一次使用时进行管道清洗。</w:t>
      </w:r>
    </w:p>
    <w:p w14:paraId="70B7EFEF">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在系统运行中，定时检查首部系统、管网运行情况、确保灌溉过程中管道及配件接口处无爆管或跑、冒、滴、漏等现象发生。</w:t>
      </w:r>
    </w:p>
    <w:p w14:paraId="5B7C9DF5">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滴灌带堵塞可将滴灌带尾头解开，放水冲洗即可。</w:t>
      </w:r>
    </w:p>
    <w:p w14:paraId="56C49CD7">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 xml:space="preserve">注意夜间低温时滴灌带会收缩，接头处应连接牢固；滴灌带铺好后，滴灌系统必须冲洗，滴灌带末端有水流出后安装滴灌带堵头。 </w:t>
      </w:r>
    </w:p>
    <w:p w14:paraId="379D74B5">
      <w:pPr>
        <w:pStyle w:val="96"/>
        <w:spacing w:before="0" w:beforeLines="0" w:after="0" w:afterLines="0"/>
        <w:rPr>
          <w:rFonts w:hint="default" w:ascii="Times New Roman" w:hAnsi="Times New Roman" w:eastAsia="宋体" w:cs="Times New Roman"/>
        </w:rPr>
      </w:pPr>
      <w:r>
        <w:rPr>
          <w:rFonts w:hint="default" w:ascii="Times New Roman" w:hAnsi="Times New Roman" w:eastAsia="宋体" w:cs="Times New Roman"/>
        </w:rPr>
        <w:t>灌溉期结束后，将地面支管洗净卷好，置于干燥、通风、阴凉处保存，防止鼠、虫等危害。</w:t>
      </w:r>
    </w:p>
    <w:p w14:paraId="3BCC17AD">
      <w:pPr>
        <w:pStyle w:val="232"/>
        <w:ind w:firstLine="0" w:firstLineChars="0"/>
        <w:rPr>
          <w:rFonts w:hint="default" w:ascii="Times New Roman" w:hAnsi="Times New Roman" w:cs="Times New Roman"/>
          <w:color w:val="000000"/>
        </w:rPr>
      </w:pPr>
    </w:p>
    <w:bookmarkEnd w:id="25"/>
    <w:bookmarkEnd w:id="83"/>
    <w:bookmarkEnd w:id="84"/>
    <w:bookmarkEnd w:id="85"/>
    <w:bookmarkEnd w:id="86"/>
    <w:p w14:paraId="773EEB99">
      <w:pPr>
        <w:pStyle w:val="58"/>
        <w:ind w:firstLine="0" w:firstLineChars="0"/>
        <w:jc w:val="center"/>
        <w:rPr>
          <w:rFonts w:hint="default" w:ascii="Times New Roman" w:hAnsi="Times New Roman" w:cs="Times New Roman"/>
        </w:rPr>
      </w:pPr>
      <w:bookmarkStart w:id="87" w:name="BookMark5"/>
      <w:r>
        <w:rPr>
          <w:rFonts w:hint="default" w:ascii="Times New Roman" w:hAnsi="Times New Roman" w:cs="Times New Roman"/>
        </w:rPr>
        <w:drawing>
          <wp:inline distT="0" distB="0" distL="0" distR="0">
            <wp:extent cx="1485900" cy="317500"/>
            <wp:effectExtent l="0" t="0" r="0" b="6350"/>
            <wp:docPr id="2" name="图片 30"/>
            <wp:cNvGraphicFramePr/>
            <a:graphic xmlns:a="http://schemas.openxmlformats.org/drawingml/2006/main">
              <a:graphicData uri="http://schemas.openxmlformats.org/drawingml/2006/picture">
                <pic:pic xmlns:pic="http://schemas.openxmlformats.org/drawingml/2006/picture">
                  <pic:nvPicPr>
                    <pic:cNvPr id="2" name="图片 30"/>
                    <pic:cNvPicPr/>
                  </pic:nvPicPr>
                  <pic:blipFill>
                    <a:blip r:embed="rId2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bookmarkEnd w:id="87"/>
    <w:p w14:paraId="43E146A4">
      <w:pPr>
        <w:pStyle w:val="58"/>
        <w:ind w:firstLine="0" w:firstLineChars="0"/>
        <w:jc w:val="center"/>
        <w:rPr>
          <w:rFonts w:hint="default" w:ascii="Times New Roman" w:hAnsi="Times New Roman" w:cs="Times New Roman"/>
        </w:rPr>
      </w:pPr>
    </w:p>
    <w:sectPr>
      <w:headerReference r:id="rId19" w:type="default"/>
      <w:footerReference r:id="rId21" w:type="default"/>
      <w:headerReference r:id="rId20" w:type="even"/>
      <w:footerReference r:id="rId22" w:type="even"/>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E87DA">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FFF23">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F706E0">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18A7A3">
    <w:pPr>
      <w:pStyle w:val="54"/>
    </w:pPr>
    <w:r>
      <w:fldChar w:fldCharType="begin"/>
    </w:r>
    <w:r>
      <w:instrText xml:space="preserve">PAGE   \* MERGEFORMAT</w:instrText>
    </w:r>
    <w:r>
      <w:fldChar w:fldCharType="separate"/>
    </w:r>
    <w:r>
      <w:rPr>
        <w:lang w:val="zh-CN"/>
      </w:rPr>
      <w:t>1</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2C662">
    <w:pPr>
      <w:pStyle w:val="53"/>
    </w:pPr>
    <w:r>
      <w:fldChar w:fldCharType="begin"/>
    </w:r>
    <w:r>
      <w:instrText xml:space="preserve"> PAGE   \* MERGEFORMAT \* MERGEFORMAT </w:instrText>
    </w:r>
    <w:r>
      <w:fldChar w:fldCharType="separate"/>
    </w:r>
    <w:r>
      <w:t>III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693A0">
    <w:pPr>
      <w:pStyle w:val="54"/>
    </w:pPr>
    <w:r>
      <w:fldChar w:fldCharType="begin"/>
    </w:r>
    <w:r>
      <w:instrText xml:space="preserve">PAGE   \* MERGEFORMAT</w:instrText>
    </w:r>
    <w:r>
      <w:fldChar w:fldCharType="separate"/>
    </w:r>
    <w:r>
      <w:rPr>
        <w:lang w:val="zh-CN"/>
      </w:rPr>
      <w:t>1</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62694B">
    <w:pPr>
      <w:pStyle w:val="53"/>
    </w:pPr>
    <w:r>
      <w:fldChar w:fldCharType="begin"/>
    </w:r>
    <w:r>
      <w:instrText xml:space="preserve"> PAGE   \* MERGEFORMAT \* MERGEFORMAT </w:instrText>
    </w:r>
    <w:r>
      <w:fldChar w:fldCharType="separate"/>
    </w:r>
    <w:r>
      <w:t>3</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BFF899">
    <w:pPr>
      <w:pStyle w:val="54"/>
    </w:pPr>
    <w:r>
      <w:fldChar w:fldCharType="begin"/>
    </w:r>
    <w:r>
      <w:instrText xml:space="preserve">PAGE   \* MERGEFORMAT</w:instrText>
    </w:r>
    <w:r>
      <w:fldChar w:fldCharType="separate"/>
    </w:r>
    <w:r>
      <w:rPr>
        <w:lang w:val="zh-CN"/>
      </w:rPr>
      <w:t>1</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FAE8FB">
    <w:pPr>
      <w:pStyle w:val="53"/>
    </w:pPr>
    <w:r>
      <w:fldChar w:fldCharType="begin"/>
    </w:r>
    <w:r>
      <w:instrText xml:space="preserve"> PAGE   \* MERGEFORMAT \* MERGEFORMAT </w:instrText>
    </w:r>
    <w:r>
      <w:fldChar w:fldCharType="separate"/>
    </w:r>
    <w: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690ECD">
    <w:pPr>
      <w:pStyle w:val="19"/>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09A097">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7CDA5A">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24EEC">
    <w:pPr>
      <w:pStyle w:val="63"/>
      <w:rPr>
        <w:rFonts w:hint="eastAsia"/>
      </w:rPr>
    </w:pPr>
    <w:r>
      <w:fldChar w:fldCharType="begin"/>
    </w:r>
    <w:r>
      <w:instrText xml:space="preserve"> STYLEREF  标准文件_文件编号  \* MERGEFORMAT </w:instrText>
    </w:r>
    <w:r>
      <w:fldChar w:fldCharType="separate"/>
    </w:r>
    <w:r>
      <w:t>DB 64/T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64ACC0">
    <w:pPr>
      <w:pStyle w:val="64"/>
      <w:rPr>
        <w:rFonts w:hint="eastAsia"/>
      </w:rPr>
    </w:pPr>
    <w:r>
      <w:rPr>
        <w:rFonts w:hint="eastAsia"/>
      </w:rPr>
      <w:fldChar w:fldCharType="begin"/>
    </w:r>
    <w:r>
      <w:rPr>
        <w:rFonts w:hint="eastAsia"/>
      </w:rPr>
      <w:instrText xml:space="preserve"> </w:instrText>
    </w:r>
    <w:r>
      <w:instrText xml:space="preserve">STYLEREF  标准文件_文件编号 \* MERGEFORMAT</w:instrText>
    </w:r>
    <w:r>
      <w:rPr>
        <w:rFonts w:hint="eastAsia"/>
      </w:rPr>
      <w:instrText xml:space="preserve"> </w:instrText>
    </w:r>
    <w:r>
      <w:rPr>
        <w:rFonts w:hint="eastAsia"/>
      </w:rPr>
      <w:fldChar w:fldCharType="separate"/>
    </w:r>
    <w:r>
      <w:rPr>
        <w:rFonts w:hint="eastAsia"/>
      </w:rPr>
      <w:t>DB 64/T XXXX—XXXX</w:t>
    </w:r>
    <w:r>
      <w:rPr>
        <w:rFonts w:hint="eastAsia"/>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72EC99">
    <w:pPr>
      <w:pStyle w:val="63"/>
      <w:rPr>
        <w:rFonts w:hint="eastAsia"/>
      </w:rPr>
    </w:pPr>
    <w:r>
      <w:fldChar w:fldCharType="begin"/>
    </w:r>
    <w:r>
      <w:instrText xml:space="preserve"> STYLEREF  标准文件_文件编号  \* MERGEFORMAT </w:instrText>
    </w:r>
    <w:r>
      <w:fldChar w:fldCharType="separate"/>
    </w:r>
    <w:r>
      <w:t>DB 64/T XXXX—XXXX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1BE239">
    <w:pPr>
      <w:pStyle w:val="64"/>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DB 64/T XXXX—XXXX</w:t>
    </w:r>
    <w:r>
      <w:rPr>
        <w:rFonts w:hint="eastAsia"/>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3A6DAA">
    <w:pPr>
      <w:pStyle w:val="63"/>
      <w:rPr>
        <w:rFonts w:hint="eastAsia"/>
      </w:rPr>
    </w:pPr>
    <w:r>
      <w:fldChar w:fldCharType="begin"/>
    </w:r>
    <w:r>
      <w:instrText xml:space="preserve"> STYLEREF  标准文件_文件编号  \* MERGEFORMAT </w:instrText>
    </w:r>
    <w:r>
      <w:fldChar w:fldCharType="separate"/>
    </w:r>
    <w:r>
      <w:t>DB 64/T 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75037C">
    <w:pPr>
      <w:pStyle w:val="64"/>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DB 64/T XXXX—XXXX</w:t>
    </w:r>
    <w:r>
      <w:rPr>
        <w:rFonts w:hint="eastAsia"/>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6"/>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1"/>
      <w:suff w:val="nothing"/>
      <w:lvlText w:val="%1%2.%3　"/>
      <w:lvlJc w:val="left"/>
      <w:pPr>
        <w:ind w:left="0" w:firstLine="0"/>
      </w:pPr>
    </w:lvl>
    <w:lvl w:ilvl="3" w:tentative="0">
      <w:start w:val="1"/>
      <w:numFmt w:val="decimal"/>
      <w:pStyle w:val="120"/>
      <w:suff w:val="nothing"/>
      <w:lvlText w:val="%1%2.%3.%4　"/>
      <w:lvlJc w:val="left"/>
      <w:pPr>
        <w:ind w:left="0" w:firstLine="0"/>
      </w:pPr>
    </w:lvl>
    <w:lvl w:ilvl="4" w:tentative="0">
      <w:start w:val="1"/>
      <w:numFmt w:val="decimal"/>
      <w:pStyle w:val="155"/>
      <w:suff w:val="nothing"/>
      <w:lvlText w:val="%1%2.%3.%4.%5　"/>
      <w:lvlJc w:val="left"/>
      <w:pPr>
        <w:ind w:left="0" w:firstLine="0"/>
      </w:pPr>
    </w:lvl>
    <w:lvl w:ilvl="5" w:tentative="0">
      <w:start w:val="1"/>
      <w:numFmt w:val="decimal"/>
      <w:pStyle w:val="157"/>
      <w:suff w:val="nothing"/>
      <w:lvlText w:val="%1%2.%3.%4.%5.%6　"/>
      <w:lvlJc w:val="left"/>
      <w:pPr>
        <w:ind w:left="0" w:firstLine="0"/>
      </w:pPr>
    </w:lvl>
    <w:lvl w:ilvl="6" w:tentative="0">
      <w:start w:val="1"/>
      <w:numFmt w:val="decimal"/>
      <w:pStyle w:val="160"/>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2"/>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1"/>
      <w:lvlText w:val="%1"/>
      <w:lvlJc w:val="left"/>
      <w:pPr>
        <w:ind w:left="425" w:hanging="425"/>
      </w:pPr>
      <w:rPr>
        <w:rFonts w:hint="eastAsia"/>
      </w:rPr>
    </w:lvl>
    <w:lvl w:ilvl="1" w:tentative="0">
      <w:start w:val="1"/>
      <w:numFmt w:val="decimal"/>
      <w:pStyle w:val="202"/>
      <w:suff w:val="nothing"/>
      <w:lvlText w:val="%10.%2 "/>
      <w:lvlJc w:val="left"/>
      <w:pPr>
        <w:ind w:left="0" w:firstLine="0"/>
      </w:pPr>
      <w:rPr>
        <w:rFonts w:hint="eastAsia" w:ascii="黑体" w:eastAsia="黑体" w:hAnsiTheme="minorHAnsi"/>
        <w:b w:val="0"/>
        <w:i w:val="0"/>
        <w:sz w:val="21"/>
      </w:rPr>
    </w:lvl>
    <w:lvl w:ilvl="2" w:tentative="0">
      <w:start w:val="1"/>
      <w:numFmt w:val="decimal"/>
      <w:pStyle w:val="203"/>
      <w:suff w:val="nothing"/>
      <w:lvlText w:val="%10.%2.%3 "/>
      <w:lvlJc w:val="left"/>
      <w:pPr>
        <w:ind w:left="0" w:firstLine="0"/>
      </w:pPr>
      <w:rPr>
        <w:rFonts w:hint="eastAsia" w:ascii="黑体" w:eastAsia="黑体" w:hAnsiTheme="minorHAnsi"/>
        <w:b w:val="0"/>
        <w:i w:val="0"/>
        <w:sz w:val="21"/>
      </w:rPr>
    </w:lvl>
    <w:lvl w:ilvl="3" w:tentative="0">
      <w:start w:val="1"/>
      <w:numFmt w:val="decimal"/>
      <w:pStyle w:val="204"/>
      <w:suff w:val="nothing"/>
      <w:lvlText w:val="%10.%2.%3.%4 "/>
      <w:lvlJc w:val="left"/>
      <w:pPr>
        <w:ind w:left="0" w:firstLine="0"/>
      </w:pPr>
      <w:rPr>
        <w:rFonts w:hint="eastAsia" w:ascii="黑体" w:eastAsia="黑体" w:hAnsiTheme="minorHAnsi"/>
        <w:b w:val="0"/>
        <w:i w:val="0"/>
        <w:sz w:val="21"/>
      </w:rPr>
    </w:lvl>
    <w:lvl w:ilvl="4" w:tentative="0">
      <w:start w:val="1"/>
      <w:numFmt w:val="decimal"/>
      <w:pStyle w:val="205"/>
      <w:suff w:val="nothing"/>
      <w:lvlText w:val="%10.%2.%3.%4.%5 "/>
      <w:lvlJc w:val="left"/>
      <w:pPr>
        <w:ind w:left="0" w:firstLine="0"/>
      </w:pPr>
      <w:rPr>
        <w:rFonts w:hint="eastAsia" w:ascii="黑体" w:eastAsia="黑体" w:hAnsiTheme="minorHAnsi"/>
        <w:b w:val="0"/>
        <w:i w:val="0"/>
        <w:sz w:val="21"/>
      </w:rPr>
    </w:lvl>
    <w:lvl w:ilvl="5" w:tentative="0">
      <w:start w:val="1"/>
      <w:numFmt w:val="decimal"/>
      <w:pStyle w:val="206"/>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3"/>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9"/>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2"/>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7"/>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4"/>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4"/>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9"/>
      <w:lvlText w:val=""/>
      <w:lvlJc w:val="left"/>
      <w:pPr>
        <w:ind w:left="851" w:hanging="431"/>
      </w:pPr>
      <w:rPr>
        <w:rFonts w:hint="default" w:ascii="Symbol" w:hAnsi="Symbol"/>
        <w:sz w:val="21"/>
      </w:rPr>
    </w:lvl>
    <w:lvl w:ilvl="2" w:tentative="0">
      <w:start w:val="1"/>
      <w:numFmt w:val="bullet"/>
      <w:pStyle w:val="174"/>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3"/>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6"/>
      <w:lvlText w:val="%1)"/>
      <w:lvlJc w:val="left"/>
      <w:pPr>
        <w:tabs>
          <w:tab w:val="left" w:pos="851"/>
        </w:tabs>
        <w:ind w:left="851" w:hanging="426"/>
      </w:pPr>
      <w:rPr>
        <w:rFonts w:hint="eastAsia" w:ascii="宋体" w:hAnsi="Times New Roman" w:eastAsia="宋体"/>
        <w:sz w:val="21"/>
      </w:rPr>
    </w:lvl>
    <w:lvl w:ilvl="1" w:tentative="0">
      <w:start w:val="1"/>
      <w:numFmt w:val="decimal"/>
      <w:pStyle w:val="111"/>
      <w:lvlText w:val="%2)"/>
      <w:lvlJc w:val="left"/>
      <w:pPr>
        <w:tabs>
          <w:tab w:val="left" w:pos="1276"/>
        </w:tabs>
        <w:ind w:left="1276" w:hanging="425"/>
      </w:pPr>
      <w:rPr>
        <w:rFonts w:hint="eastAsia" w:ascii="宋体" w:hAnsi="Times New Roman" w:eastAsia="宋体"/>
        <w:sz w:val="21"/>
      </w:rPr>
    </w:lvl>
    <w:lvl w:ilvl="2" w:tentative="0">
      <w:start w:val="1"/>
      <w:numFmt w:val="decimal"/>
      <w:pStyle w:val="11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200"/>
      <w:lvlText w:val="%1"/>
      <w:lvlJc w:val="left"/>
      <w:pPr>
        <w:ind w:left="420" w:hanging="420"/>
      </w:pPr>
      <w:rPr>
        <w:rFonts w:hint="eastAsia"/>
      </w:rPr>
    </w:lvl>
    <w:lvl w:ilvl="1" w:tentative="0">
      <w:start w:val="1"/>
      <w:numFmt w:val="decimal"/>
      <w:pStyle w:val="85"/>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5"/>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8"/>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5"/>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6"/>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1"/>
      <w:suff w:val="space"/>
      <w:lvlText w:val="%1"/>
      <w:lvlJc w:val="left"/>
      <w:pPr>
        <w:ind w:left="425" w:hanging="425"/>
      </w:pPr>
      <w:rPr>
        <w:rFonts w:hint="eastAsia"/>
      </w:rPr>
    </w:lvl>
    <w:lvl w:ilvl="1" w:tentative="0">
      <w:start w:val="1"/>
      <w:numFmt w:val="decimal"/>
      <w:pStyle w:val="79"/>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3"/>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1"/>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8"/>
      <w:suff w:val="nothing"/>
      <w:lvlText w:val="附录%1"/>
      <w:lvlJc w:val="left"/>
      <w:pPr>
        <w:ind w:left="0" w:firstLine="0"/>
      </w:pPr>
      <w:rPr>
        <w:rFonts w:hint="eastAsia"/>
        <w:spacing w:val="100"/>
      </w:rPr>
    </w:lvl>
    <w:lvl w:ilvl="1" w:tentative="0">
      <w:start w:val="1"/>
      <w:numFmt w:val="decimal"/>
      <w:pStyle w:val="80"/>
      <w:suff w:val="nothing"/>
      <w:lvlText w:val="%1.%2　"/>
      <w:lvlJc w:val="left"/>
      <w:pPr>
        <w:ind w:left="0" w:firstLine="0"/>
      </w:pPr>
      <w:rPr>
        <w:rFonts w:hint="eastAsia" w:ascii="黑体" w:eastAsia="黑体"/>
        <w:b w:val="0"/>
        <w:i w:val="0"/>
        <w:sz w:val="21"/>
      </w:rPr>
    </w:lvl>
    <w:lvl w:ilvl="2" w:tentative="0">
      <w:start w:val="1"/>
      <w:numFmt w:val="decimal"/>
      <w:pStyle w:val="81"/>
      <w:suff w:val="nothing"/>
      <w:lvlText w:val="%1.%2.%3　"/>
      <w:lvlJc w:val="left"/>
      <w:pPr>
        <w:ind w:left="0" w:firstLine="0"/>
      </w:pPr>
      <w:rPr>
        <w:rFonts w:hint="eastAsia" w:ascii="黑体" w:eastAsia="黑体"/>
        <w:b w:val="0"/>
        <w:i w:val="0"/>
        <w:sz w:val="21"/>
      </w:rPr>
    </w:lvl>
    <w:lvl w:ilvl="3" w:tentative="0">
      <w:start w:val="1"/>
      <w:numFmt w:val="decimal"/>
      <w:pStyle w:val="83"/>
      <w:suff w:val="nothing"/>
      <w:lvlText w:val="%1.%2.%3.%4　"/>
      <w:lvlJc w:val="left"/>
      <w:pPr>
        <w:ind w:left="0" w:firstLine="0"/>
      </w:pPr>
      <w:rPr>
        <w:rFonts w:hint="eastAsia" w:ascii="黑体" w:eastAsia="黑体"/>
        <w:b w:val="0"/>
        <w:i w:val="0"/>
        <w:sz w:val="21"/>
      </w:rPr>
    </w:lvl>
    <w:lvl w:ilvl="4" w:tentative="0">
      <w:start w:val="1"/>
      <w:numFmt w:val="decimal"/>
      <w:pStyle w:val="84"/>
      <w:suff w:val="nothing"/>
      <w:lvlText w:val="%1.%2.%3.%4.%5　"/>
      <w:lvlJc w:val="left"/>
      <w:pPr>
        <w:ind w:left="0" w:firstLine="0"/>
      </w:pPr>
      <w:rPr>
        <w:rFonts w:hint="eastAsia" w:ascii="黑体" w:eastAsia="黑体"/>
        <w:b w:val="0"/>
        <w:i w:val="0"/>
        <w:sz w:val="21"/>
      </w:rPr>
    </w:lvl>
    <w:lvl w:ilvl="5" w:tentative="0">
      <w:start w:val="1"/>
      <w:numFmt w:val="decimal"/>
      <w:pStyle w:val="86"/>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90"/>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9"/>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5"/>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4"/>
      <w:suff w:val="nothing"/>
      <w:lvlText w:val="%1"/>
      <w:lvlJc w:val="left"/>
      <w:pPr>
        <w:ind w:left="0" w:firstLine="0"/>
      </w:pPr>
      <w:rPr>
        <w:rFonts w:hint="eastAsia"/>
      </w:rPr>
    </w:lvl>
    <w:lvl w:ilvl="1" w:tentative="0">
      <w:start w:val="1"/>
      <w:numFmt w:val="decimal"/>
      <w:pStyle w:val="106"/>
      <w:suff w:val="nothing"/>
      <w:lvlText w:val="%1%2　"/>
      <w:lvlJc w:val="left"/>
      <w:pPr>
        <w:ind w:left="0" w:firstLine="0"/>
      </w:pPr>
      <w:rPr>
        <w:rFonts w:hint="eastAsia" w:ascii="黑体" w:eastAsia="黑体"/>
        <w:b w:val="0"/>
        <w:i w:val="0"/>
        <w:sz w:val="21"/>
      </w:rPr>
    </w:lvl>
    <w:lvl w:ilvl="2" w:tentative="0">
      <w:start w:val="1"/>
      <w:numFmt w:val="decimal"/>
      <w:pStyle w:val="107"/>
      <w:suff w:val="nothing"/>
      <w:lvlText w:val="%1%2.%3　"/>
      <w:lvlJc w:val="left"/>
      <w:pPr>
        <w:ind w:left="283"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7"/>
      <w:suff w:val="nothing"/>
      <w:lvlText w:val="%1%2.%3.%4　"/>
      <w:lvlJc w:val="left"/>
      <w:pPr>
        <w:ind w:left="0" w:firstLine="0"/>
      </w:pPr>
      <w:rPr>
        <w:rFonts w:hint="eastAsia" w:ascii="黑体" w:eastAsia="黑体"/>
        <w:b w:val="0"/>
        <w:i w:val="0"/>
        <w:sz w:val="21"/>
      </w:rPr>
    </w:lvl>
    <w:lvl w:ilvl="4" w:tentative="0">
      <w:start w:val="1"/>
      <w:numFmt w:val="decimal"/>
      <w:pStyle w:val="96"/>
      <w:suff w:val="nothing"/>
      <w:lvlText w:val="%1%2.%3.%4.%5　"/>
      <w:lvlJc w:val="left"/>
      <w:pPr>
        <w:ind w:left="0" w:firstLine="0"/>
      </w:pPr>
      <w:rPr>
        <w:rFonts w:hint="eastAsia" w:ascii="黑体" w:eastAsia="黑体"/>
        <w:b w:val="0"/>
        <w:i w:val="0"/>
        <w:sz w:val="21"/>
      </w:rPr>
    </w:lvl>
    <w:lvl w:ilvl="5" w:tentative="0">
      <w:start w:val="1"/>
      <w:numFmt w:val="decimal"/>
      <w:pStyle w:val="100"/>
      <w:suff w:val="nothing"/>
      <w:lvlText w:val="%1%2.%3.%4.%5.%6　"/>
      <w:lvlJc w:val="left"/>
      <w:pPr>
        <w:ind w:left="0" w:firstLine="0"/>
      </w:pPr>
      <w:rPr>
        <w:rFonts w:hint="eastAsia" w:ascii="黑体" w:eastAsia="黑体"/>
        <w:b w:val="0"/>
        <w:i w:val="0"/>
        <w:sz w:val="21"/>
      </w:rPr>
    </w:lvl>
    <w:lvl w:ilvl="6" w:tentative="0">
      <w:start w:val="1"/>
      <w:numFmt w:val="decimal"/>
      <w:pStyle w:val="105"/>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1"/>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7"/>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1"/>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attachedTemplate r:id="rId1"/>
  <w:documentProtection w:edit="forms" w:enforcement="0"/>
  <w:defaultTabStop w:val="420"/>
  <w:evenAndOddHeaders w:val="1"/>
  <w:drawingGridHorizontalSpacing w:val="105"/>
  <w:drawingGridVerticalSpacing w:val="156"/>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FlNTJiMzViMzBiNTA2ZDZhNDRiMTNhNTk4MTJiMTMifQ=="/>
  </w:docVars>
  <w:rsids>
    <w:rsidRoot w:val="009C28BE"/>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64B6"/>
    <w:rsid w:val="000D753B"/>
    <w:rsid w:val="000E4C9E"/>
    <w:rsid w:val="000E6FD7"/>
    <w:rsid w:val="000F06E1"/>
    <w:rsid w:val="000F0E3C"/>
    <w:rsid w:val="000F19D5"/>
    <w:rsid w:val="000F4AEA"/>
    <w:rsid w:val="000F633F"/>
    <w:rsid w:val="000F67E9"/>
    <w:rsid w:val="00103AA2"/>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37A55"/>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A5A24"/>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774C5"/>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452A"/>
    <w:rsid w:val="006C5A62"/>
    <w:rsid w:val="006C5D68"/>
    <w:rsid w:val="006C6976"/>
    <w:rsid w:val="006C6DD0"/>
    <w:rsid w:val="006D04EA"/>
    <w:rsid w:val="006D0AB7"/>
    <w:rsid w:val="006D16C4"/>
    <w:rsid w:val="006D3E96"/>
    <w:rsid w:val="006D4301"/>
    <w:rsid w:val="006D4515"/>
    <w:rsid w:val="006D4BB1"/>
    <w:rsid w:val="006D6593"/>
    <w:rsid w:val="006E23EA"/>
    <w:rsid w:val="006F03A8"/>
    <w:rsid w:val="006F2ACA"/>
    <w:rsid w:val="006F2ADC"/>
    <w:rsid w:val="006F2BFE"/>
    <w:rsid w:val="006F31E9"/>
    <w:rsid w:val="006F6284"/>
    <w:rsid w:val="007002C5"/>
    <w:rsid w:val="00704387"/>
    <w:rsid w:val="007052CB"/>
    <w:rsid w:val="00707669"/>
    <w:rsid w:val="00711CBA"/>
    <w:rsid w:val="00711FB5"/>
    <w:rsid w:val="00712A01"/>
    <w:rsid w:val="00714F58"/>
    <w:rsid w:val="00722FBF"/>
    <w:rsid w:val="00722FC2"/>
    <w:rsid w:val="00724879"/>
    <w:rsid w:val="00724E1B"/>
    <w:rsid w:val="00725949"/>
    <w:rsid w:val="00727FA2"/>
    <w:rsid w:val="007322D9"/>
    <w:rsid w:val="007328DE"/>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2D10"/>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28BE"/>
    <w:rsid w:val="009C3152"/>
    <w:rsid w:val="009C4CFA"/>
    <w:rsid w:val="009C5070"/>
    <w:rsid w:val="009D112C"/>
    <w:rsid w:val="009D37A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689"/>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AF71F7"/>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43ED"/>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742B8"/>
    <w:rsid w:val="00C80982"/>
    <w:rsid w:val="00C80CB8"/>
    <w:rsid w:val="00C819F8"/>
    <w:rsid w:val="00C8248C"/>
    <w:rsid w:val="00C84E33"/>
    <w:rsid w:val="00C86D6F"/>
    <w:rsid w:val="00C905FC"/>
    <w:rsid w:val="00C90628"/>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27B0"/>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4B3E"/>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0B7F"/>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5797"/>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5407950"/>
    <w:rsid w:val="055531A3"/>
    <w:rsid w:val="0D3125AD"/>
    <w:rsid w:val="0D782BC3"/>
    <w:rsid w:val="12C641F0"/>
    <w:rsid w:val="13993C24"/>
    <w:rsid w:val="14AE0281"/>
    <w:rsid w:val="15D07095"/>
    <w:rsid w:val="16A809AA"/>
    <w:rsid w:val="216550A4"/>
    <w:rsid w:val="24013FEB"/>
    <w:rsid w:val="2F60124B"/>
    <w:rsid w:val="31892AAA"/>
    <w:rsid w:val="32A5442A"/>
    <w:rsid w:val="3E1D461D"/>
    <w:rsid w:val="3F5D5E23"/>
    <w:rsid w:val="419F4380"/>
    <w:rsid w:val="4AD31C8D"/>
    <w:rsid w:val="4BE60C4D"/>
    <w:rsid w:val="4C6F1EB4"/>
    <w:rsid w:val="4F583B9E"/>
    <w:rsid w:val="560A3F8F"/>
    <w:rsid w:val="562773AC"/>
    <w:rsid w:val="56B92610"/>
    <w:rsid w:val="5A617830"/>
    <w:rsid w:val="5B600F72"/>
    <w:rsid w:val="5BF92814"/>
    <w:rsid w:val="61956C71"/>
    <w:rsid w:val="68B7209B"/>
    <w:rsid w:val="6AA2068C"/>
    <w:rsid w:val="6D077FD6"/>
    <w:rsid w:val="7023779A"/>
    <w:rsid w:val="70B16898"/>
    <w:rsid w:val="75D60ABF"/>
    <w:rsid w:val="78D511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7"/>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8"/>
    <w:qFormat/>
    <w:uiPriority w:val="0"/>
    <w:pPr>
      <w:keepNext/>
      <w:keepLines/>
      <w:spacing w:before="260" w:after="260" w:line="416" w:lineRule="auto"/>
      <w:outlineLvl w:val="2"/>
    </w:pPr>
    <w:rPr>
      <w:b/>
      <w:bCs/>
      <w:sz w:val="32"/>
      <w:szCs w:val="32"/>
    </w:rPr>
  </w:style>
  <w:style w:type="paragraph" w:styleId="5">
    <w:name w:val="heading 4"/>
    <w:basedOn w:val="1"/>
    <w:next w:val="1"/>
    <w:link w:val="39"/>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0"/>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1"/>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2"/>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3"/>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4"/>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semiHidden/>
    <w:unhideWhenUsed/>
    <w:qFormat/>
    <w:uiPriority w:val="99"/>
    <w:pPr>
      <w:jc w:val="left"/>
    </w:pPr>
  </w:style>
  <w:style w:type="paragraph" w:styleId="14">
    <w:name w:val="Body Text"/>
    <w:basedOn w:val="1"/>
    <w:link w:val="88"/>
    <w:qFormat/>
    <w:uiPriority w:val="0"/>
    <w:pPr>
      <w:spacing w:after="120"/>
    </w:pPr>
  </w:style>
  <w:style w:type="paragraph" w:styleId="15">
    <w:name w:val="toc 5"/>
    <w:basedOn w:val="1"/>
    <w:next w:val="1"/>
    <w:autoRedefine/>
    <w:unhideWhenUsed/>
    <w:qFormat/>
    <w:uiPriority w:val="39"/>
    <w:pPr>
      <w:ind w:left="839"/>
    </w:pPr>
    <w:rPr>
      <w:rFonts w:ascii="宋体"/>
    </w:rPr>
  </w:style>
  <w:style w:type="paragraph" w:styleId="16">
    <w:name w:val="toc 3"/>
    <w:basedOn w:val="1"/>
    <w:next w:val="1"/>
    <w:autoRedefine/>
    <w:unhideWhenUsed/>
    <w:qFormat/>
    <w:uiPriority w:val="39"/>
    <w:pPr>
      <w:spacing w:line="300" w:lineRule="exact"/>
      <w:ind w:left="420"/>
    </w:pPr>
    <w:rPr>
      <w:rFonts w:ascii="宋体"/>
    </w:rPr>
  </w:style>
  <w:style w:type="paragraph" w:styleId="17">
    <w:name w:val="Balloon Text"/>
    <w:basedOn w:val="1"/>
    <w:link w:val="47"/>
    <w:semiHidden/>
    <w:unhideWhenUsed/>
    <w:qFormat/>
    <w:uiPriority w:val="99"/>
    <w:rPr>
      <w:sz w:val="18"/>
      <w:szCs w:val="18"/>
    </w:rPr>
  </w:style>
  <w:style w:type="paragraph" w:styleId="18">
    <w:name w:val="footer"/>
    <w:basedOn w:val="1"/>
    <w:link w:val="46"/>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5"/>
    <w:qFormat/>
    <w:uiPriority w:val="99"/>
    <w:pPr>
      <w:tabs>
        <w:tab w:val="center" w:pos="4153"/>
        <w:tab w:val="right" w:pos="8306"/>
      </w:tabs>
      <w:adjustRightInd/>
      <w:snapToGrid w:val="0"/>
      <w:jc w:val="center"/>
    </w:pPr>
    <w:rPr>
      <w:sz w:val="18"/>
      <w:szCs w:val="18"/>
    </w:rPr>
  </w:style>
  <w:style w:type="paragraph" w:styleId="20">
    <w:name w:val="toc 1"/>
    <w:basedOn w:val="1"/>
    <w:next w:val="1"/>
    <w:autoRedefine/>
    <w:unhideWhenUsed/>
    <w:qFormat/>
    <w:uiPriority w:val="39"/>
    <w:rPr>
      <w:rFonts w:ascii="宋体"/>
    </w:rPr>
  </w:style>
  <w:style w:type="paragraph" w:styleId="21">
    <w:name w:val="toc 4"/>
    <w:basedOn w:val="1"/>
    <w:next w:val="1"/>
    <w:autoRedefine/>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1"/>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autoRedefine/>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autoRedefine/>
    <w:unhideWhenUsed/>
    <w:qFormat/>
    <w:uiPriority w:val="39"/>
    <w:pPr>
      <w:tabs>
        <w:tab w:val="right" w:leader="dot" w:pos="9344"/>
      </w:tabs>
      <w:spacing w:line="300" w:lineRule="exact"/>
      <w:ind w:left="210"/>
    </w:pPr>
    <w:rPr>
      <w:rFonts w:ascii="宋体"/>
    </w:rPr>
  </w:style>
  <w:style w:type="paragraph" w:styleId="26">
    <w:name w:val="Normal (Web)"/>
    <w:basedOn w:val="1"/>
    <w:semiHidden/>
    <w:unhideWhenUsed/>
    <w:qFormat/>
    <w:uiPriority w:val="99"/>
    <w:rPr>
      <w:sz w:val="24"/>
    </w:rPr>
  </w:style>
  <w:style w:type="paragraph" w:styleId="27">
    <w:name w:val="Title"/>
    <w:basedOn w:val="1"/>
    <w:link w:val="50"/>
    <w:qFormat/>
    <w:uiPriority w:val="0"/>
    <w:pPr>
      <w:spacing w:before="240" w:after="60"/>
      <w:jc w:val="center"/>
      <w:outlineLvl w:val="0"/>
    </w:pPr>
    <w:rPr>
      <w:rFonts w:ascii="Arial" w:hAnsi="Arial" w:cs="Arial"/>
      <w:b/>
      <w:bCs/>
      <w:sz w:val="32"/>
      <w:szCs w:val="32"/>
    </w:rPr>
  </w:style>
  <w:style w:type="table" w:styleId="29">
    <w:name w:val="Table Grid"/>
    <w:basedOn w:val="2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footnote reference"/>
    <w:semiHidden/>
    <w:qFormat/>
    <w:uiPriority w:val="0"/>
    <w:rPr>
      <w:rFonts w:ascii="宋体" w:hAnsi="宋体" w:eastAsia="宋体" w:cs="Times New Roman"/>
      <w:spacing w:val="0"/>
      <w:sz w:val="18"/>
      <w:vertAlign w:val="superscript"/>
    </w:rPr>
  </w:style>
  <w:style w:type="character" w:customStyle="1" w:styleId="36">
    <w:name w:val="标题 1 字符"/>
    <w:link w:val="2"/>
    <w:qFormat/>
    <w:uiPriority w:val="0"/>
    <w:rPr>
      <w:b/>
      <w:bCs/>
      <w:kern w:val="44"/>
      <w:sz w:val="44"/>
      <w:szCs w:val="44"/>
    </w:rPr>
  </w:style>
  <w:style w:type="character" w:customStyle="1" w:styleId="37">
    <w:name w:val="标题 2 字符"/>
    <w:link w:val="3"/>
    <w:qFormat/>
    <w:uiPriority w:val="0"/>
    <w:rPr>
      <w:rFonts w:ascii="Arial" w:hAnsi="Arial" w:eastAsia="黑体"/>
      <w:b/>
      <w:bCs/>
      <w:kern w:val="2"/>
      <w:sz w:val="32"/>
      <w:szCs w:val="32"/>
    </w:rPr>
  </w:style>
  <w:style w:type="character" w:customStyle="1" w:styleId="38">
    <w:name w:val="标题 3 字符"/>
    <w:link w:val="4"/>
    <w:qFormat/>
    <w:uiPriority w:val="0"/>
    <w:rPr>
      <w:b/>
      <w:bCs/>
      <w:kern w:val="2"/>
      <w:sz w:val="32"/>
      <w:szCs w:val="32"/>
    </w:rPr>
  </w:style>
  <w:style w:type="character" w:customStyle="1" w:styleId="39">
    <w:name w:val="标题 4 字符"/>
    <w:link w:val="5"/>
    <w:qFormat/>
    <w:uiPriority w:val="0"/>
    <w:rPr>
      <w:rFonts w:ascii="Arial" w:hAnsi="Arial" w:eastAsia="黑体"/>
      <w:b/>
      <w:bCs/>
      <w:kern w:val="2"/>
      <w:sz w:val="28"/>
      <w:szCs w:val="28"/>
    </w:rPr>
  </w:style>
  <w:style w:type="character" w:customStyle="1" w:styleId="40">
    <w:name w:val="标题 5 字符"/>
    <w:link w:val="6"/>
    <w:qFormat/>
    <w:uiPriority w:val="0"/>
    <w:rPr>
      <w:b/>
      <w:bCs/>
      <w:kern w:val="2"/>
      <w:sz w:val="28"/>
      <w:szCs w:val="28"/>
    </w:rPr>
  </w:style>
  <w:style w:type="character" w:customStyle="1" w:styleId="41">
    <w:name w:val="标题 6 字符"/>
    <w:link w:val="7"/>
    <w:qFormat/>
    <w:uiPriority w:val="0"/>
    <w:rPr>
      <w:rFonts w:ascii="Arial" w:hAnsi="Arial" w:eastAsia="黑体"/>
      <w:b/>
      <w:bCs/>
      <w:kern w:val="2"/>
      <w:sz w:val="24"/>
      <w:szCs w:val="24"/>
    </w:rPr>
  </w:style>
  <w:style w:type="character" w:customStyle="1" w:styleId="42">
    <w:name w:val="标题 7 字符"/>
    <w:link w:val="8"/>
    <w:qFormat/>
    <w:uiPriority w:val="0"/>
    <w:rPr>
      <w:b/>
      <w:bCs/>
      <w:kern w:val="2"/>
      <w:sz w:val="24"/>
      <w:szCs w:val="24"/>
    </w:rPr>
  </w:style>
  <w:style w:type="character" w:customStyle="1" w:styleId="43">
    <w:name w:val="标题 8 字符"/>
    <w:link w:val="9"/>
    <w:qFormat/>
    <w:uiPriority w:val="0"/>
    <w:rPr>
      <w:rFonts w:ascii="Arial" w:hAnsi="Arial" w:eastAsia="黑体"/>
      <w:kern w:val="2"/>
      <w:sz w:val="24"/>
      <w:szCs w:val="24"/>
    </w:rPr>
  </w:style>
  <w:style w:type="character" w:customStyle="1" w:styleId="44">
    <w:name w:val="标题 9 字符"/>
    <w:link w:val="10"/>
    <w:qFormat/>
    <w:uiPriority w:val="0"/>
    <w:rPr>
      <w:rFonts w:ascii="Arial" w:hAnsi="Arial" w:eastAsia="黑体"/>
      <w:kern w:val="2"/>
      <w:sz w:val="21"/>
      <w:szCs w:val="21"/>
    </w:rPr>
  </w:style>
  <w:style w:type="character" w:customStyle="1" w:styleId="45">
    <w:name w:val="页眉 字符"/>
    <w:link w:val="19"/>
    <w:qFormat/>
    <w:uiPriority w:val="99"/>
    <w:rPr>
      <w:kern w:val="2"/>
      <w:sz w:val="18"/>
      <w:szCs w:val="18"/>
    </w:rPr>
  </w:style>
  <w:style w:type="character" w:customStyle="1" w:styleId="46">
    <w:name w:val="页脚 字符"/>
    <w:link w:val="18"/>
    <w:qFormat/>
    <w:uiPriority w:val="99"/>
    <w:rPr>
      <w:rFonts w:ascii="宋体"/>
      <w:kern w:val="2"/>
      <w:sz w:val="18"/>
      <w:szCs w:val="18"/>
    </w:rPr>
  </w:style>
  <w:style w:type="character" w:customStyle="1" w:styleId="47">
    <w:name w:val="批注框文本 字符"/>
    <w:link w:val="17"/>
    <w:semiHidden/>
    <w:qFormat/>
    <w:uiPriority w:val="99"/>
    <w:rPr>
      <w:kern w:val="2"/>
      <w:sz w:val="18"/>
      <w:szCs w:val="18"/>
    </w:rPr>
  </w:style>
  <w:style w:type="paragraph" w:styleId="48">
    <w:name w:val="Quote"/>
    <w:basedOn w:val="1"/>
    <w:next w:val="1"/>
    <w:link w:val="49"/>
    <w:qFormat/>
    <w:uiPriority w:val="29"/>
    <w:rPr>
      <w:i/>
      <w:iCs/>
      <w:color w:val="000000"/>
    </w:rPr>
  </w:style>
  <w:style w:type="character" w:customStyle="1" w:styleId="49">
    <w:name w:val="引用 字符"/>
    <w:link w:val="48"/>
    <w:qFormat/>
    <w:uiPriority w:val="29"/>
    <w:rPr>
      <w:i/>
      <w:iCs/>
      <w:color w:val="000000"/>
      <w:kern w:val="2"/>
      <w:sz w:val="21"/>
      <w:szCs w:val="21"/>
    </w:rPr>
  </w:style>
  <w:style w:type="character" w:customStyle="1" w:styleId="50">
    <w:name w:val="标题 字符"/>
    <w:link w:val="27"/>
    <w:qFormat/>
    <w:uiPriority w:val="0"/>
    <w:rPr>
      <w:rFonts w:ascii="Arial" w:hAnsi="Arial" w:cs="Arial"/>
      <w:b/>
      <w:bCs/>
      <w:kern w:val="2"/>
      <w:sz w:val="32"/>
      <w:szCs w:val="32"/>
    </w:rPr>
  </w:style>
  <w:style w:type="paragraph" w:customStyle="1" w:styleId="51">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2">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3">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4">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5">
    <w:name w:val="标准书眉一"/>
    <w:qFormat/>
    <w:uiPriority w:val="0"/>
    <w:pPr>
      <w:jc w:val="both"/>
    </w:pPr>
    <w:rPr>
      <w:rFonts w:ascii="Times New Roman" w:hAnsi="Times New Roman" w:eastAsia="宋体" w:cs="Times New Roman"/>
      <w:lang w:val="en-US" w:eastAsia="zh-CN" w:bidi="ar-SA"/>
    </w:rPr>
  </w:style>
  <w:style w:type="paragraph" w:customStyle="1" w:styleId="56">
    <w:name w:val="标准文件_ICS"/>
    <w:basedOn w:val="1"/>
    <w:qFormat/>
    <w:uiPriority w:val="0"/>
    <w:pPr>
      <w:spacing w:line="0" w:lineRule="atLeast"/>
    </w:pPr>
    <w:rPr>
      <w:rFonts w:ascii="黑体" w:hAnsi="宋体" w:eastAsia="黑体"/>
    </w:rPr>
  </w:style>
  <w:style w:type="paragraph" w:customStyle="1" w:styleId="57">
    <w:name w:val="标准文件_标准正文"/>
    <w:basedOn w:val="1"/>
    <w:next w:val="58"/>
    <w:qFormat/>
    <w:uiPriority w:val="0"/>
    <w:pPr>
      <w:snapToGrid w:val="0"/>
      <w:ind w:firstLine="200" w:firstLineChars="200"/>
    </w:pPr>
    <w:rPr>
      <w:kern w:val="0"/>
    </w:rPr>
  </w:style>
  <w:style w:type="paragraph" w:customStyle="1" w:styleId="58">
    <w:name w:val="标准文件_段"/>
    <w:link w:val="186"/>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9">
    <w:name w:val="标准文件_版本"/>
    <w:basedOn w:val="57"/>
    <w:qFormat/>
    <w:uiPriority w:val="0"/>
    <w:pPr>
      <w:adjustRightInd/>
      <w:snapToGrid/>
      <w:ind w:firstLine="0" w:firstLineChars="0"/>
    </w:pPr>
    <w:rPr>
      <w:rFonts w:ascii="宋体" w:hAnsi="宋体"/>
      <w:kern w:val="2"/>
    </w:rPr>
  </w:style>
  <w:style w:type="paragraph" w:customStyle="1" w:styleId="60">
    <w:name w:val="标准文件_标准部门"/>
    <w:basedOn w:val="1"/>
    <w:qFormat/>
    <w:uiPriority w:val="0"/>
    <w:pPr>
      <w:jc w:val="center"/>
    </w:pPr>
    <w:rPr>
      <w:rFonts w:ascii="黑体" w:eastAsia="黑体"/>
      <w:kern w:val="0"/>
      <w:sz w:val="44"/>
    </w:rPr>
  </w:style>
  <w:style w:type="paragraph" w:customStyle="1" w:styleId="61">
    <w:name w:val="标准文件_标准代替"/>
    <w:basedOn w:val="1"/>
    <w:next w:val="1"/>
    <w:qFormat/>
    <w:uiPriority w:val="0"/>
    <w:pPr>
      <w:spacing w:line="310" w:lineRule="exact"/>
      <w:jc w:val="right"/>
    </w:pPr>
    <w:rPr>
      <w:rFonts w:ascii="宋体" w:hAnsi="宋体"/>
      <w:kern w:val="0"/>
    </w:rPr>
  </w:style>
  <w:style w:type="paragraph" w:customStyle="1" w:styleId="62">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3">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4">
    <w:name w:val="标准文件_页眉偶数页"/>
    <w:basedOn w:val="63"/>
    <w:next w:val="1"/>
    <w:qFormat/>
    <w:uiPriority w:val="0"/>
    <w:pPr>
      <w:jc w:val="left"/>
    </w:pPr>
  </w:style>
  <w:style w:type="paragraph" w:customStyle="1" w:styleId="65">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6">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7">
    <w:name w:val="标准文件_二级条标题"/>
    <w:next w:val="58"/>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8">
    <w:name w:val="标准文件_发布"/>
    <w:qFormat/>
    <w:uiPriority w:val="0"/>
    <w:rPr>
      <w:rFonts w:ascii="黑体" w:eastAsia="黑体"/>
      <w:spacing w:val="0"/>
      <w:w w:val="100"/>
      <w:position w:val="3"/>
      <w:sz w:val="28"/>
    </w:rPr>
  </w:style>
  <w:style w:type="paragraph" w:customStyle="1" w:styleId="69">
    <w:name w:val="标准文件_方框数字列项"/>
    <w:basedOn w:val="58"/>
    <w:qFormat/>
    <w:uiPriority w:val="0"/>
    <w:pPr>
      <w:numPr>
        <w:ilvl w:val="0"/>
        <w:numId w:val="3"/>
      </w:numPr>
      <w:ind w:firstLine="0" w:firstLineChars="0"/>
    </w:pPr>
  </w:style>
  <w:style w:type="paragraph" w:customStyle="1" w:styleId="70">
    <w:name w:val="标准文件_封面标准编号"/>
    <w:basedOn w:val="1"/>
    <w:next w:val="61"/>
    <w:qFormat/>
    <w:uiPriority w:val="0"/>
    <w:pPr>
      <w:spacing w:line="310" w:lineRule="exact"/>
      <w:jc w:val="right"/>
    </w:pPr>
    <w:rPr>
      <w:rFonts w:ascii="黑体" w:eastAsia="黑体"/>
      <w:kern w:val="0"/>
      <w:sz w:val="28"/>
    </w:rPr>
  </w:style>
  <w:style w:type="paragraph" w:customStyle="1" w:styleId="71">
    <w:name w:val="标准文件_封面标准分类号"/>
    <w:basedOn w:val="1"/>
    <w:qFormat/>
    <w:uiPriority w:val="0"/>
    <w:rPr>
      <w:rFonts w:ascii="黑体" w:eastAsia="黑体"/>
      <w:b/>
      <w:kern w:val="0"/>
      <w:sz w:val="28"/>
    </w:rPr>
  </w:style>
  <w:style w:type="paragraph" w:customStyle="1" w:styleId="72">
    <w:name w:val="标准文件_封面标准名称"/>
    <w:basedOn w:val="1"/>
    <w:qFormat/>
    <w:uiPriority w:val="0"/>
    <w:pPr>
      <w:spacing w:line="240" w:lineRule="auto"/>
      <w:jc w:val="center"/>
    </w:pPr>
    <w:rPr>
      <w:rFonts w:ascii="黑体" w:eastAsia="黑体"/>
      <w:kern w:val="0"/>
      <w:sz w:val="52"/>
    </w:rPr>
  </w:style>
  <w:style w:type="paragraph" w:customStyle="1" w:styleId="73">
    <w:name w:val="标准文件_封面标准英文名称"/>
    <w:basedOn w:val="1"/>
    <w:qFormat/>
    <w:uiPriority w:val="0"/>
    <w:pPr>
      <w:spacing w:line="240" w:lineRule="auto"/>
      <w:jc w:val="center"/>
    </w:pPr>
    <w:rPr>
      <w:rFonts w:ascii="黑体" w:eastAsia="黑体"/>
      <w:b/>
      <w:sz w:val="28"/>
    </w:rPr>
  </w:style>
  <w:style w:type="paragraph" w:customStyle="1" w:styleId="74">
    <w:name w:val="标准文件_封面发布日期"/>
    <w:basedOn w:val="1"/>
    <w:qFormat/>
    <w:uiPriority w:val="0"/>
    <w:pPr>
      <w:spacing w:line="310" w:lineRule="exact"/>
    </w:pPr>
    <w:rPr>
      <w:rFonts w:ascii="黑体" w:eastAsia="黑体"/>
      <w:kern w:val="0"/>
      <w:sz w:val="28"/>
    </w:rPr>
  </w:style>
  <w:style w:type="paragraph" w:customStyle="1" w:styleId="75">
    <w:name w:val="标准文件_封面密级"/>
    <w:basedOn w:val="1"/>
    <w:qFormat/>
    <w:uiPriority w:val="0"/>
    <w:rPr>
      <w:rFonts w:eastAsia="黑体"/>
      <w:sz w:val="32"/>
    </w:rPr>
  </w:style>
  <w:style w:type="paragraph" w:customStyle="1" w:styleId="76">
    <w:name w:val="标准文件_封面实施日期"/>
    <w:basedOn w:val="1"/>
    <w:qFormat/>
    <w:uiPriority w:val="0"/>
    <w:pPr>
      <w:spacing w:line="310" w:lineRule="exact"/>
      <w:jc w:val="right"/>
    </w:pPr>
    <w:rPr>
      <w:rFonts w:ascii="黑体" w:eastAsia="黑体"/>
      <w:sz w:val="28"/>
    </w:rPr>
  </w:style>
  <w:style w:type="paragraph" w:customStyle="1" w:styleId="77">
    <w:name w:val="标准文件_封面抬头"/>
    <w:basedOn w:val="58"/>
    <w:qFormat/>
    <w:uiPriority w:val="0"/>
    <w:pPr>
      <w:adjustRightInd w:val="0"/>
      <w:spacing w:line="800" w:lineRule="exact"/>
      <w:ind w:firstLine="0" w:firstLineChars="0"/>
      <w:jc w:val="distribute"/>
    </w:pPr>
    <w:rPr>
      <w:rFonts w:ascii="黑体" w:eastAsia="黑体"/>
      <w:b/>
      <w:sz w:val="64"/>
    </w:rPr>
  </w:style>
  <w:style w:type="paragraph" w:customStyle="1" w:styleId="78">
    <w:name w:val="标准文件_附录标识"/>
    <w:next w:val="58"/>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9">
    <w:name w:val="标准文件_附录表标题"/>
    <w:next w:val="58"/>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0">
    <w:name w:val="标准文件_附录一级条标题"/>
    <w:next w:val="58"/>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1">
    <w:name w:val="标准文件_附录二级条标题"/>
    <w:basedOn w:val="80"/>
    <w:next w:val="58"/>
    <w:qFormat/>
    <w:uiPriority w:val="0"/>
    <w:pPr>
      <w:widowControl/>
      <w:numPr>
        <w:ilvl w:val="2"/>
      </w:numPr>
      <w:wordWrap w:val="0"/>
      <w:overflowPunct w:val="0"/>
      <w:autoSpaceDE w:val="0"/>
      <w:autoSpaceDN w:val="0"/>
      <w:textAlignment w:val="baseline"/>
      <w:outlineLvl w:val="3"/>
    </w:pPr>
  </w:style>
  <w:style w:type="paragraph" w:customStyle="1" w:styleId="82">
    <w:name w:val="标准文件_附录公式"/>
    <w:basedOn w:val="57"/>
    <w:next w:val="57"/>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3">
    <w:name w:val="标准文件_附录三级条标题"/>
    <w:next w:val="58"/>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4">
    <w:name w:val="标准文件_附录四级条标题"/>
    <w:next w:val="58"/>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5">
    <w:name w:val="标准文件_附录图标题"/>
    <w:next w:val="58"/>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6">
    <w:name w:val="标准文件_附录五级条标题"/>
    <w:next w:val="58"/>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7">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8">
    <w:name w:val="正文文本 字符"/>
    <w:link w:val="14"/>
    <w:qFormat/>
    <w:uiPriority w:val="0"/>
    <w:rPr>
      <w:kern w:val="2"/>
      <w:sz w:val="21"/>
      <w:szCs w:val="21"/>
    </w:rPr>
  </w:style>
  <w:style w:type="paragraph" w:customStyle="1" w:styleId="89">
    <w:name w:val="标准文件_附录章标题"/>
    <w:next w:val="58"/>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0">
    <w:name w:val="标准文件_公式后的破折号"/>
    <w:basedOn w:val="58"/>
    <w:next w:val="58"/>
    <w:qFormat/>
    <w:uiPriority w:val="0"/>
    <w:pPr>
      <w:ind w:left="488" w:leftChars="200" w:hanging="289" w:hangingChars="290"/>
    </w:pPr>
  </w:style>
  <w:style w:type="paragraph" w:customStyle="1" w:styleId="91">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2">
    <w:name w:val="标准文件_目次、标准名称标题"/>
    <w:basedOn w:val="91"/>
    <w:next w:val="58"/>
    <w:qFormat/>
    <w:uiPriority w:val="0"/>
    <w:pPr>
      <w:spacing w:line="460" w:lineRule="exact"/>
      <w:ind w:left="0" w:firstLine="0"/>
    </w:pPr>
  </w:style>
  <w:style w:type="paragraph" w:customStyle="1" w:styleId="93">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4">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5">
    <w:name w:val="标准文件_破折号列项（二级）"/>
    <w:basedOn w:val="94"/>
    <w:qFormat/>
    <w:uiPriority w:val="0"/>
    <w:pPr>
      <w:numPr>
        <w:numId w:val="10"/>
      </w:numPr>
    </w:pPr>
  </w:style>
  <w:style w:type="paragraph" w:customStyle="1" w:styleId="96">
    <w:name w:val="标准文件_三级条标题"/>
    <w:basedOn w:val="67"/>
    <w:next w:val="58"/>
    <w:qFormat/>
    <w:uiPriority w:val="0"/>
    <w:pPr>
      <w:widowControl/>
      <w:numPr>
        <w:ilvl w:val="4"/>
      </w:numPr>
      <w:outlineLvl w:val="3"/>
    </w:pPr>
  </w:style>
  <w:style w:type="character" w:customStyle="1" w:styleId="97">
    <w:name w:val="不明显参考1"/>
    <w:qFormat/>
    <w:uiPriority w:val="31"/>
    <w:rPr>
      <w:smallCaps/>
      <w:color w:val="C0504D"/>
      <w:u w:val="single"/>
    </w:rPr>
  </w:style>
  <w:style w:type="paragraph" w:customStyle="1" w:styleId="98">
    <w:name w:val="标准文件_示例后续"/>
    <w:basedOn w:val="1"/>
    <w:qFormat/>
    <w:uiPriority w:val="0"/>
    <w:pPr>
      <w:adjustRightInd/>
      <w:spacing w:line="240" w:lineRule="auto"/>
      <w:ind w:firstLine="200" w:firstLineChars="200"/>
    </w:pPr>
    <w:rPr>
      <w:sz w:val="18"/>
      <w:szCs w:val="24"/>
    </w:rPr>
  </w:style>
  <w:style w:type="paragraph" w:customStyle="1" w:styleId="99">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0">
    <w:name w:val="标准文件_四级条标题"/>
    <w:next w:val="58"/>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1">
    <w:name w:val="脚注文本 字符"/>
    <w:link w:val="22"/>
    <w:semiHidden/>
    <w:qFormat/>
    <w:uiPriority w:val="0"/>
    <w:rPr>
      <w:rFonts w:ascii="宋体"/>
      <w:kern w:val="2"/>
      <w:sz w:val="18"/>
      <w:szCs w:val="18"/>
    </w:rPr>
  </w:style>
  <w:style w:type="paragraph" w:customStyle="1" w:styleId="102">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3">
    <w:name w:val="标准文件_图表脚注"/>
    <w:basedOn w:val="1"/>
    <w:next w:val="58"/>
    <w:qFormat/>
    <w:uiPriority w:val="0"/>
    <w:pPr>
      <w:numPr>
        <w:ilvl w:val="0"/>
        <w:numId w:val="12"/>
      </w:numPr>
      <w:spacing w:line="240" w:lineRule="auto"/>
      <w:jc w:val="left"/>
    </w:pPr>
    <w:rPr>
      <w:rFonts w:ascii="宋体" w:hAnsi="宋体"/>
      <w:sz w:val="18"/>
    </w:rPr>
  </w:style>
  <w:style w:type="character" w:customStyle="1" w:styleId="104">
    <w:name w:val="标准文件_图表脚注内容"/>
    <w:qFormat/>
    <w:uiPriority w:val="0"/>
    <w:rPr>
      <w:rFonts w:ascii="宋体" w:hAnsi="宋体" w:eastAsia="宋体" w:cs="Times New Roman"/>
      <w:spacing w:val="0"/>
      <w:sz w:val="18"/>
      <w:vertAlign w:val="superscript"/>
    </w:rPr>
  </w:style>
  <w:style w:type="paragraph" w:customStyle="1" w:styleId="105">
    <w:name w:val="标准文件_五级条标题"/>
    <w:next w:val="58"/>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6">
    <w:name w:val="标准文件_章标题"/>
    <w:next w:val="58"/>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7">
    <w:name w:val="标准文件_一级条标题"/>
    <w:basedOn w:val="106"/>
    <w:next w:val="58"/>
    <w:qFormat/>
    <w:uiPriority w:val="0"/>
    <w:pPr>
      <w:numPr>
        <w:ilvl w:val="2"/>
      </w:numPr>
      <w:spacing w:before="50" w:beforeLines="50" w:after="50" w:afterLines="50"/>
      <w:outlineLvl w:val="1"/>
    </w:pPr>
  </w:style>
  <w:style w:type="paragraph" w:customStyle="1" w:styleId="108">
    <w:name w:val="标准文件_一致程度"/>
    <w:basedOn w:val="1"/>
    <w:qFormat/>
    <w:uiPriority w:val="0"/>
    <w:pPr>
      <w:spacing w:line="440" w:lineRule="exact"/>
      <w:jc w:val="center"/>
    </w:pPr>
    <w:rPr>
      <w:sz w:val="28"/>
    </w:rPr>
  </w:style>
  <w:style w:type="paragraph" w:customStyle="1" w:styleId="109">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0">
    <w:name w:val="标准文件_英文图表脚注"/>
    <w:basedOn w:val="57"/>
    <w:qFormat/>
    <w:uiPriority w:val="0"/>
    <w:pPr>
      <w:widowControl/>
      <w:adjustRightInd/>
      <w:snapToGrid/>
      <w:spacing w:line="240" w:lineRule="auto"/>
      <w:ind w:left="79" w:hanging="79" w:hangingChars="80"/>
    </w:pPr>
    <w:rPr>
      <w:rFonts w:ascii="宋体" w:hAnsi="宋体"/>
    </w:rPr>
  </w:style>
  <w:style w:type="paragraph" w:customStyle="1" w:styleId="111">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2">
    <w:name w:val="标准文件_英文注："/>
    <w:basedOn w:val="1"/>
    <w:next w:val="58"/>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3">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4">
    <w:name w:val="标准文件_正文表标题"/>
    <w:next w:val="58"/>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公式"/>
    <w:basedOn w:val="1"/>
    <w:next w:val="57"/>
    <w:qFormat/>
    <w:uiPriority w:val="0"/>
    <w:pPr>
      <w:tabs>
        <w:tab w:val="center" w:pos="4678"/>
        <w:tab w:val="right" w:leader="middleDot" w:pos="9356"/>
      </w:tabs>
      <w:spacing w:line="240" w:lineRule="auto"/>
    </w:pPr>
    <w:rPr>
      <w:rFonts w:ascii="宋体" w:hAnsi="宋体"/>
    </w:rPr>
  </w:style>
  <w:style w:type="paragraph" w:customStyle="1" w:styleId="116">
    <w:name w:val="标准文件_正文图标题"/>
    <w:next w:val="58"/>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英文表标题"/>
    <w:next w:val="58"/>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8">
    <w:name w:val="标准文件_正文英文图标题"/>
    <w:next w:val="58"/>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9">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0">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1">
    <w:name w:val="发布部门"/>
    <w:next w:val="58"/>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2">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3">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4">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6">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7">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8">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9">
    <w:name w:val="封面正文"/>
    <w:qFormat/>
    <w:uiPriority w:val="0"/>
    <w:pPr>
      <w:jc w:val="both"/>
    </w:pPr>
    <w:rPr>
      <w:rFonts w:ascii="Times New Roman" w:hAnsi="Times New Roman" w:eastAsia="宋体" w:cs="Times New Roman"/>
      <w:lang w:val="en-US" w:eastAsia="zh-CN" w:bidi="ar-SA"/>
    </w:rPr>
  </w:style>
  <w:style w:type="paragraph" w:customStyle="1" w:styleId="130">
    <w:name w:val="附录二级无标题条"/>
    <w:basedOn w:val="1"/>
    <w:next w:val="58"/>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1">
    <w:name w:val="附录三级无标题条"/>
    <w:basedOn w:val="130"/>
    <w:next w:val="58"/>
    <w:qFormat/>
    <w:uiPriority w:val="0"/>
    <w:pPr>
      <w:outlineLvl w:val="4"/>
    </w:pPr>
  </w:style>
  <w:style w:type="paragraph" w:customStyle="1" w:styleId="132">
    <w:name w:val="附录四级无标题条"/>
    <w:basedOn w:val="131"/>
    <w:next w:val="58"/>
    <w:qFormat/>
    <w:uiPriority w:val="0"/>
    <w:pPr>
      <w:outlineLvl w:val="5"/>
    </w:pPr>
  </w:style>
  <w:style w:type="paragraph" w:customStyle="1" w:styleId="133">
    <w:name w:val="附录图"/>
    <w:next w:val="58"/>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4">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5">
    <w:name w:val="附录五级无标题条"/>
    <w:basedOn w:val="132"/>
    <w:next w:val="58"/>
    <w:qFormat/>
    <w:uiPriority w:val="0"/>
    <w:pPr>
      <w:outlineLvl w:val="6"/>
    </w:pPr>
  </w:style>
  <w:style w:type="paragraph" w:customStyle="1" w:styleId="136">
    <w:name w:val="附录性质"/>
    <w:basedOn w:val="1"/>
    <w:qFormat/>
    <w:uiPriority w:val="0"/>
    <w:pPr>
      <w:widowControl/>
      <w:adjustRightInd/>
      <w:jc w:val="center"/>
    </w:pPr>
    <w:rPr>
      <w:rFonts w:ascii="黑体" w:eastAsia="黑体"/>
    </w:rPr>
  </w:style>
  <w:style w:type="paragraph" w:customStyle="1" w:styleId="137">
    <w:name w:val="附录一级无标题条"/>
    <w:basedOn w:val="89"/>
    <w:next w:val="58"/>
    <w:qFormat/>
    <w:uiPriority w:val="0"/>
    <w:pPr>
      <w:autoSpaceDN w:val="0"/>
      <w:outlineLvl w:val="2"/>
    </w:pPr>
    <w:rPr>
      <w:rFonts w:ascii="宋体" w:hAnsi="宋体" w:eastAsia="宋体"/>
    </w:rPr>
  </w:style>
  <w:style w:type="character" w:customStyle="1" w:styleId="138">
    <w:name w:val="个人答复风格"/>
    <w:qFormat/>
    <w:uiPriority w:val="0"/>
    <w:rPr>
      <w:rFonts w:ascii="Arial" w:hAnsi="Arial" w:eastAsia="宋体" w:cs="Arial"/>
      <w:color w:val="auto"/>
      <w:spacing w:val="0"/>
      <w:sz w:val="20"/>
    </w:rPr>
  </w:style>
  <w:style w:type="character" w:customStyle="1" w:styleId="139">
    <w:name w:val="个人撰写风格"/>
    <w:qFormat/>
    <w:uiPriority w:val="0"/>
    <w:rPr>
      <w:rFonts w:ascii="Arial" w:hAnsi="Arial" w:eastAsia="宋体" w:cs="Arial"/>
      <w:color w:val="auto"/>
      <w:spacing w:val="0"/>
      <w:sz w:val="20"/>
    </w:rPr>
  </w:style>
  <w:style w:type="paragraph" w:customStyle="1" w:styleId="140">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1">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2">
    <w:name w:val="列项·"/>
    <w:basedOn w:val="58"/>
    <w:qFormat/>
    <w:uiPriority w:val="0"/>
    <w:pPr>
      <w:tabs>
        <w:tab w:val="left" w:pos="840"/>
      </w:tabs>
    </w:pPr>
  </w:style>
  <w:style w:type="paragraph" w:customStyle="1" w:styleId="143">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4">
    <w:name w:val="目录 21"/>
    <w:basedOn w:val="1"/>
    <w:next w:val="1"/>
    <w:autoRedefine/>
    <w:semiHidden/>
    <w:qFormat/>
    <w:uiPriority w:val="0"/>
    <w:pPr>
      <w:adjustRightInd/>
      <w:spacing w:line="240" w:lineRule="auto"/>
      <w:jc w:val="left"/>
    </w:pPr>
    <w:rPr>
      <w:bCs/>
      <w:iCs/>
    </w:rPr>
  </w:style>
  <w:style w:type="paragraph" w:customStyle="1" w:styleId="145">
    <w:name w:val="目录 31"/>
    <w:basedOn w:val="1"/>
    <w:next w:val="1"/>
    <w:autoRedefine/>
    <w:semiHidden/>
    <w:qFormat/>
    <w:uiPriority w:val="0"/>
    <w:pPr>
      <w:spacing w:line="240" w:lineRule="auto"/>
    </w:pPr>
    <w:rPr>
      <w:rFonts w:ascii="宋体" w:hAnsi="宋体"/>
      <w:iCs/>
    </w:rPr>
  </w:style>
  <w:style w:type="paragraph" w:customStyle="1" w:styleId="146">
    <w:name w:val="目录 41"/>
    <w:basedOn w:val="1"/>
    <w:next w:val="1"/>
    <w:autoRedefine/>
    <w:semiHidden/>
    <w:qFormat/>
    <w:uiPriority w:val="0"/>
    <w:pPr>
      <w:adjustRightInd/>
      <w:spacing w:line="240" w:lineRule="auto"/>
      <w:jc w:val="left"/>
    </w:pPr>
  </w:style>
  <w:style w:type="paragraph" w:customStyle="1" w:styleId="147">
    <w:name w:val="目录 51"/>
    <w:basedOn w:val="1"/>
    <w:next w:val="1"/>
    <w:autoRedefine/>
    <w:semiHidden/>
    <w:qFormat/>
    <w:uiPriority w:val="0"/>
    <w:pPr>
      <w:spacing w:line="240" w:lineRule="auto"/>
    </w:pPr>
    <w:rPr>
      <w:rFonts w:ascii="宋体" w:hAnsi="宋体"/>
    </w:rPr>
  </w:style>
  <w:style w:type="paragraph" w:customStyle="1" w:styleId="148">
    <w:name w:val="目录 61"/>
    <w:basedOn w:val="1"/>
    <w:next w:val="1"/>
    <w:autoRedefine/>
    <w:semiHidden/>
    <w:qFormat/>
    <w:uiPriority w:val="0"/>
    <w:pPr>
      <w:adjustRightInd/>
      <w:spacing w:line="240" w:lineRule="auto"/>
      <w:jc w:val="left"/>
    </w:pPr>
  </w:style>
  <w:style w:type="paragraph" w:customStyle="1" w:styleId="149">
    <w:name w:val="目录 71"/>
    <w:basedOn w:val="148"/>
    <w:autoRedefine/>
    <w:semiHidden/>
    <w:qFormat/>
    <w:uiPriority w:val="0"/>
    <w:pPr>
      <w:ind w:left="1260"/>
    </w:pPr>
  </w:style>
  <w:style w:type="paragraph" w:customStyle="1" w:styleId="150">
    <w:name w:val="目录 81"/>
    <w:basedOn w:val="149"/>
    <w:autoRedefine/>
    <w:semiHidden/>
    <w:qFormat/>
    <w:uiPriority w:val="0"/>
    <w:pPr>
      <w:ind w:left="1470"/>
    </w:pPr>
  </w:style>
  <w:style w:type="paragraph" w:customStyle="1" w:styleId="151">
    <w:name w:val="目录 91"/>
    <w:basedOn w:val="150"/>
    <w:autoRedefine/>
    <w:semiHidden/>
    <w:qFormat/>
    <w:uiPriority w:val="0"/>
    <w:pPr>
      <w:ind w:left="1680"/>
    </w:pPr>
  </w:style>
  <w:style w:type="paragraph" w:customStyle="1" w:styleId="15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3">
    <w:name w:val="其他发布部门"/>
    <w:basedOn w:val="121"/>
    <w:qFormat/>
    <w:uiPriority w:val="0"/>
    <w:pPr>
      <w:framePr w:wrap="around"/>
      <w:spacing w:line="0" w:lineRule="atLeast"/>
    </w:pPr>
    <w:rPr>
      <w:rFonts w:ascii="黑体" w:eastAsia="黑体"/>
      <w:b w:val="0"/>
    </w:rPr>
  </w:style>
  <w:style w:type="paragraph" w:customStyle="1" w:styleId="154">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5">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6">
    <w:name w:val="实施日期"/>
    <w:basedOn w:val="122"/>
    <w:qFormat/>
    <w:uiPriority w:val="0"/>
    <w:pPr>
      <w:framePr w:hSpace="0" w:wrap="around" w:xAlign="right"/>
      <w:jc w:val="right"/>
    </w:pPr>
  </w:style>
  <w:style w:type="paragraph" w:customStyle="1" w:styleId="157">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8">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9">
    <w:name w:val="无标题条"/>
    <w:next w:val="58"/>
    <w:qFormat/>
    <w:uiPriority w:val="0"/>
    <w:pPr>
      <w:jc w:val="both"/>
    </w:pPr>
    <w:rPr>
      <w:rFonts w:ascii="宋体" w:hAnsi="宋体" w:eastAsia="宋体" w:cs="Times New Roman"/>
      <w:sz w:val="21"/>
      <w:lang w:val="en-US" w:eastAsia="zh-CN" w:bidi="ar-SA"/>
    </w:rPr>
  </w:style>
  <w:style w:type="paragraph" w:customStyle="1" w:styleId="160">
    <w:name w:val="五级无标题条"/>
    <w:basedOn w:val="1"/>
    <w:qFormat/>
    <w:uiPriority w:val="0"/>
    <w:pPr>
      <w:numPr>
        <w:ilvl w:val="6"/>
        <w:numId w:val="20"/>
      </w:numPr>
      <w:adjustRightInd/>
    </w:pPr>
    <w:rPr>
      <w:szCs w:val="24"/>
    </w:rPr>
  </w:style>
  <w:style w:type="paragraph" w:customStyle="1" w:styleId="161">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2">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3">
    <w:name w:val="注×:后续"/>
    <w:basedOn w:val="162"/>
    <w:qFormat/>
    <w:uiPriority w:val="0"/>
    <w:pPr>
      <w:ind w:left="1406" w:leftChars="0" w:hanging="499" w:firstLineChars="0"/>
    </w:pPr>
  </w:style>
  <w:style w:type="paragraph" w:customStyle="1" w:styleId="164">
    <w:name w:val="标准文件_一级无标题"/>
    <w:basedOn w:val="107"/>
    <w:qFormat/>
    <w:uiPriority w:val="0"/>
    <w:pPr>
      <w:spacing w:before="0" w:beforeLines="0" w:after="0" w:afterLines="0"/>
      <w:outlineLvl w:val="9"/>
    </w:pPr>
    <w:rPr>
      <w:rFonts w:ascii="宋体" w:eastAsia="宋体"/>
    </w:rPr>
  </w:style>
  <w:style w:type="paragraph" w:customStyle="1" w:styleId="165">
    <w:name w:val="标准文件_五级无标题"/>
    <w:basedOn w:val="105"/>
    <w:qFormat/>
    <w:uiPriority w:val="0"/>
    <w:pPr>
      <w:spacing w:before="0" w:beforeLines="0" w:after="0" w:afterLines="0"/>
      <w:outlineLvl w:val="9"/>
    </w:pPr>
    <w:rPr>
      <w:rFonts w:ascii="宋体" w:eastAsia="宋体"/>
    </w:rPr>
  </w:style>
  <w:style w:type="paragraph" w:customStyle="1" w:styleId="166">
    <w:name w:val="标准文件_三级无标题"/>
    <w:basedOn w:val="96"/>
    <w:qFormat/>
    <w:uiPriority w:val="0"/>
    <w:pPr>
      <w:spacing w:before="0" w:beforeLines="0" w:after="0" w:afterLines="0"/>
      <w:outlineLvl w:val="9"/>
    </w:pPr>
    <w:rPr>
      <w:rFonts w:ascii="宋体" w:eastAsia="宋体"/>
    </w:rPr>
  </w:style>
  <w:style w:type="paragraph" w:customStyle="1" w:styleId="167">
    <w:name w:val="标准文件_二级无标题"/>
    <w:basedOn w:val="67"/>
    <w:qFormat/>
    <w:uiPriority w:val="0"/>
    <w:pPr>
      <w:spacing w:before="0" w:beforeLines="0" w:after="0" w:afterLines="0"/>
      <w:outlineLvl w:val="9"/>
    </w:pPr>
    <w:rPr>
      <w:rFonts w:ascii="宋体" w:eastAsia="宋体"/>
    </w:rPr>
  </w:style>
  <w:style w:type="paragraph" w:customStyle="1" w:styleId="168">
    <w:name w:val="标准_四级无标题"/>
    <w:basedOn w:val="100"/>
    <w:next w:val="58"/>
    <w:qFormat/>
    <w:uiPriority w:val="0"/>
    <w:rPr>
      <w:rFonts w:eastAsia="宋体"/>
    </w:rPr>
  </w:style>
  <w:style w:type="paragraph" w:customStyle="1" w:styleId="169">
    <w:name w:val="标准文件_四级无标题"/>
    <w:basedOn w:val="100"/>
    <w:qFormat/>
    <w:uiPriority w:val="0"/>
    <w:pPr>
      <w:spacing w:before="0" w:beforeLines="0" w:after="0" w:afterLines="0"/>
      <w:outlineLvl w:val="9"/>
    </w:pPr>
    <w:rPr>
      <w:rFonts w:ascii="宋体" w:hAnsi="黑体" w:eastAsia="宋体"/>
      <w:szCs w:val="52"/>
    </w:rPr>
  </w:style>
  <w:style w:type="paragraph" w:customStyle="1" w:styleId="170">
    <w:name w:val="标准文件_大写罗马数字编号列项"/>
    <w:basedOn w:val="58"/>
    <w:qFormat/>
    <w:uiPriority w:val="0"/>
    <w:pPr>
      <w:numPr>
        <w:ilvl w:val="0"/>
        <w:numId w:val="23"/>
      </w:numPr>
      <w:ind w:firstLine="0" w:firstLineChars="0"/>
    </w:pPr>
    <w:rPr>
      <w:rFonts w:ascii="Times New Roman" w:cs="Arial"/>
      <w:szCs w:val="28"/>
    </w:rPr>
  </w:style>
  <w:style w:type="paragraph" w:customStyle="1" w:styleId="171">
    <w:name w:val="标准文件_小写罗马数字编号列项"/>
    <w:basedOn w:val="58"/>
    <w:qFormat/>
    <w:uiPriority w:val="0"/>
    <w:pPr>
      <w:numPr>
        <w:ilvl w:val="0"/>
        <w:numId w:val="24"/>
      </w:numPr>
      <w:ind w:firstLine="0" w:firstLineChars="0"/>
    </w:pPr>
    <w:rPr>
      <w:rFonts w:cs="Arial"/>
      <w:szCs w:val="28"/>
    </w:rPr>
  </w:style>
  <w:style w:type="paragraph" w:customStyle="1" w:styleId="172">
    <w:name w:val="标准文件_附录标题"/>
    <w:basedOn w:val="78"/>
    <w:qFormat/>
    <w:uiPriority w:val="0"/>
    <w:pPr>
      <w:numPr>
        <w:numId w:val="0"/>
      </w:numPr>
      <w:spacing w:after="280"/>
      <w:outlineLvl w:val="9"/>
    </w:pPr>
  </w:style>
  <w:style w:type="paragraph" w:customStyle="1" w:styleId="173">
    <w:name w:val="标准文件_二级项"/>
    <w:qFormat/>
    <w:uiPriority w:val="0"/>
    <w:rPr>
      <w:rFonts w:ascii="宋体" w:hAnsi="Times New Roman" w:eastAsia="宋体" w:cs="Times New Roman"/>
      <w:sz w:val="21"/>
      <w:lang w:val="en-US" w:eastAsia="zh-CN" w:bidi="ar-SA"/>
    </w:rPr>
  </w:style>
  <w:style w:type="paragraph" w:customStyle="1" w:styleId="174">
    <w:name w:val="标准文件_三级项"/>
    <w:basedOn w:val="1"/>
    <w:qFormat/>
    <w:uiPriority w:val="0"/>
    <w:pPr>
      <w:numPr>
        <w:ilvl w:val="2"/>
        <w:numId w:val="21"/>
      </w:numPr>
      <w:spacing w:line="536870612" w:lineRule="auto"/>
    </w:pPr>
    <w:rPr>
      <w:rFonts w:ascii="Times New Roman" w:hAnsi="Times New Roman"/>
    </w:rPr>
  </w:style>
  <w:style w:type="paragraph" w:customStyle="1" w:styleId="175">
    <w:name w:val="图表脚注说明"/>
    <w:basedOn w:val="1"/>
    <w:next w:val="58"/>
    <w:qFormat/>
    <w:uiPriority w:val="0"/>
    <w:pPr>
      <w:numPr>
        <w:ilvl w:val="0"/>
        <w:numId w:val="25"/>
      </w:numPr>
      <w:adjustRightInd/>
      <w:spacing w:line="240" w:lineRule="auto"/>
    </w:pPr>
    <w:rPr>
      <w:rFonts w:ascii="宋体" w:hAnsi="Times New Roman"/>
      <w:sz w:val="18"/>
      <w:szCs w:val="18"/>
    </w:rPr>
  </w:style>
  <w:style w:type="paragraph" w:customStyle="1" w:styleId="176">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7">
    <w:name w:val="标准文件_索引字母"/>
    <w:next w:val="58"/>
    <w:qFormat/>
    <w:uiPriority w:val="0"/>
    <w:pPr>
      <w:jc w:val="center"/>
    </w:pPr>
    <w:rPr>
      <w:rFonts w:ascii="宋体" w:hAnsi="宋体" w:eastAsia="Times New Roman" w:cs="Times New Roman"/>
      <w:b/>
      <w:kern w:val="2"/>
      <w:sz w:val="21"/>
      <w:lang w:val="en-US" w:eastAsia="zh-CN" w:bidi="ar-SA"/>
    </w:rPr>
  </w:style>
  <w:style w:type="paragraph" w:customStyle="1" w:styleId="178">
    <w:name w:val="标准文件_附录前"/>
    <w:next w:val="58"/>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9">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0">
    <w:name w:val="标准文件_表格"/>
    <w:basedOn w:val="58"/>
    <w:qFormat/>
    <w:uiPriority w:val="0"/>
    <w:pPr>
      <w:ind w:firstLine="0" w:firstLineChars="0"/>
      <w:jc w:val="center"/>
    </w:pPr>
    <w:rPr>
      <w:sz w:val="18"/>
    </w:rPr>
  </w:style>
  <w:style w:type="paragraph" w:customStyle="1" w:styleId="181">
    <w:name w:val="标准文件_注："/>
    <w:next w:val="58"/>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示例："/>
    <w:next w:val="184"/>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4">
    <w:name w:val="标准文件_示例内容"/>
    <w:basedOn w:val="58"/>
    <w:qFormat/>
    <w:uiPriority w:val="0"/>
    <w:pPr>
      <w:ind w:firstLine="420"/>
    </w:pPr>
    <w:rPr>
      <w:sz w:val="18"/>
    </w:rPr>
  </w:style>
  <w:style w:type="paragraph" w:customStyle="1" w:styleId="185">
    <w:name w:val="标准文件_示例×："/>
    <w:basedOn w:val="1"/>
    <w:next w:val="184"/>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6">
    <w:name w:val="标准文件_段 Char"/>
    <w:link w:val="58"/>
    <w:qFormat/>
    <w:uiPriority w:val="0"/>
    <w:rPr>
      <w:rFonts w:ascii="宋体" w:hAnsi="Times New Roman"/>
      <w:sz w:val="21"/>
    </w:rPr>
  </w:style>
  <w:style w:type="paragraph" w:customStyle="1" w:styleId="187">
    <w:name w:val="标准文件_表格续"/>
    <w:basedOn w:val="58"/>
    <w:next w:val="58"/>
    <w:qFormat/>
    <w:uiPriority w:val="0"/>
    <w:pPr>
      <w:jc w:val="center"/>
    </w:pPr>
    <w:rPr>
      <w:rFonts w:ascii="黑体" w:hAnsi="黑体" w:eastAsia="黑体"/>
    </w:rPr>
  </w:style>
  <w:style w:type="character" w:styleId="188">
    <w:name w:val="Placeholder Text"/>
    <w:basedOn w:val="30"/>
    <w:semiHidden/>
    <w:qFormat/>
    <w:uiPriority w:val="99"/>
    <w:rPr>
      <w:color w:val="808080"/>
    </w:rPr>
  </w:style>
  <w:style w:type="paragraph" w:customStyle="1" w:styleId="189">
    <w:name w:val="标准文件_二级项2"/>
    <w:basedOn w:val="58"/>
    <w:qFormat/>
    <w:uiPriority w:val="0"/>
    <w:pPr>
      <w:numPr>
        <w:ilvl w:val="1"/>
        <w:numId w:val="21"/>
      </w:numPr>
      <w:ind w:firstLine="0" w:firstLineChars="0"/>
    </w:pPr>
  </w:style>
  <w:style w:type="paragraph" w:customStyle="1" w:styleId="190">
    <w:name w:val="标准文件_三级项2"/>
    <w:basedOn w:val="58"/>
    <w:qFormat/>
    <w:uiPriority w:val="0"/>
    <w:pPr>
      <w:numPr>
        <w:ilvl w:val="0"/>
        <w:numId w:val="30"/>
      </w:numPr>
      <w:spacing w:line="300" w:lineRule="exact"/>
      <w:ind w:firstLineChars="0"/>
    </w:pPr>
    <w:rPr>
      <w:rFonts w:ascii="Times New Roman"/>
    </w:rPr>
  </w:style>
  <w:style w:type="paragraph" w:customStyle="1" w:styleId="191">
    <w:name w:val="标准文件_一级项2"/>
    <w:basedOn w:val="58"/>
    <w:qFormat/>
    <w:uiPriority w:val="0"/>
    <w:pPr>
      <w:numPr>
        <w:ilvl w:val="0"/>
        <w:numId w:val="31"/>
      </w:numPr>
      <w:spacing w:line="300" w:lineRule="exact"/>
      <w:ind w:firstLineChars="0"/>
    </w:pPr>
    <w:rPr>
      <w:rFonts w:ascii="Times New Roman"/>
    </w:rPr>
  </w:style>
  <w:style w:type="paragraph" w:customStyle="1" w:styleId="192">
    <w:name w:val="标准文件_提示"/>
    <w:basedOn w:val="58"/>
    <w:next w:val="58"/>
    <w:qFormat/>
    <w:uiPriority w:val="0"/>
    <w:pPr>
      <w:ind w:firstLine="420"/>
    </w:pPr>
    <w:rPr>
      <w:rFonts w:ascii="黑体" w:eastAsia="黑体"/>
    </w:rPr>
  </w:style>
  <w:style w:type="character" w:customStyle="1" w:styleId="193">
    <w:name w:val="标准文件_来源"/>
    <w:basedOn w:val="30"/>
    <w:qFormat/>
    <w:uiPriority w:val="1"/>
    <w:rPr>
      <w:rFonts w:eastAsia="宋体"/>
      <w:sz w:val="21"/>
    </w:rPr>
  </w:style>
  <w:style w:type="paragraph" w:customStyle="1" w:styleId="194">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5">
    <w:name w:val="其他发布日期"/>
    <w:basedOn w:val="122"/>
    <w:qFormat/>
    <w:uiPriority w:val="0"/>
    <w:pPr>
      <w:framePr w:w="3997" w:h="471" w:hRule="exact" w:hSpace="0" w:vSpace="181" w:wrap="around" w:vAnchor="page" w:hAnchor="page" w:x="1419" w:y="14097"/>
    </w:pPr>
  </w:style>
  <w:style w:type="paragraph" w:customStyle="1" w:styleId="196">
    <w:name w:val="其他实施日期"/>
    <w:basedOn w:val="156"/>
    <w:qFormat/>
    <w:uiPriority w:val="0"/>
    <w:pPr>
      <w:framePr w:w="3997" w:h="471" w:hRule="exact" w:vSpace="181" w:wrap="around" w:vAnchor="page" w:hAnchor="page" w:x="7089" w:y="14097"/>
    </w:pPr>
  </w:style>
  <w:style w:type="paragraph" w:customStyle="1" w:styleId="197">
    <w:name w:val="标准文件_文件编号"/>
    <w:basedOn w:val="58"/>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8">
    <w:name w:val="标准文件_替换文件编号"/>
    <w:basedOn w:val="197"/>
    <w:qFormat/>
    <w:uiPriority w:val="0"/>
    <w:pPr>
      <w:spacing w:before="57"/>
    </w:pPr>
    <w:rPr>
      <w:sz w:val="21"/>
    </w:rPr>
  </w:style>
  <w:style w:type="paragraph" w:customStyle="1" w:styleId="199">
    <w:name w:val="标准文件_文件名称"/>
    <w:basedOn w:val="58"/>
    <w:next w:val="58"/>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0">
    <w:name w:val="标准文件_附录图标号"/>
    <w:basedOn w:val="58"/>
    <w:next w:val="58"/>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1">
    <w:name w:val="标准文件_附录表标号"/>
    <w:basedOn w:val="58"/>
    <w:next w:val="58"/>
    <w:qFormat/>
    <w:uiPriority w:val="0"/>
    <w:pPr>
      <w:numPr>
        <w:ilvl w:val="0"/>
        <w:numId w:val="5"/>
      </w:numPr>
      <w:spacing w:line="14" w:lineRule="exact"/>
      <w:ind w:firstLine="0" w:firstLineChars="0"/>
      <w:jc w:val="center"/>
    </w:pPr>
    <w:rPr>
      <w:rFonts w:eastAsia="黑体"/>
      <w:vanish/>
      <w:sz w:val="2"/>
    </w:rPr>
  </w:style>
  <w:style w:type="paragraph" w:customStyle="1" w:styleId="202">
    <w:name w:val="标准文件_引言一级条标题"/>
    <w:basedOn w:val="58"/>
    <w:next w:val="58"/>
    <w:qFormat/>
    <w:uiPriority w:val="0"/>
    <w:pPr>
      <w:numPr>
        <w:ilvl w:val="1"/>
        <w:numId w:val="8"/>
      </w:numPr>
      <w:spacing w:before="50" w:beforeLines="50" w:after="50" w:afterLines="50"/>
      <w:ind w:firstLineChars="0"/>
    </w:pPr>
    <w:rPr>
      <w:rFonts w:ascii="黑体" w:eastAsia="黑体"/>
    </w:rPr>
  </w:style>
  <w:style w:type="paragraph" w:customStyle="1" w:styleId="203">
    <w:name w:val="标准文件_引言二级条标题"/>
    <w:basedOn w:val="58"/>
    <w:next w:val="58"/>
    <w:qFormat/>
    <w:uiPriority w:val="0"/>
    <w:pPr>
      <w:numPr>
        <w:ilvl w:val="2"/>
        <w:numId w:val="8"/>
      </w:numPr>
      <w:spacing w:before="50" w:beforeLines="50" w:after="50" w:afterLines="50"/>
      <w:ind w:firstLineChars="0"/>
    </w:pPr>
    <w:rPr>
      <w:rFonts w:ascii="黑体" w:eastAsia="黑体"/>
    </w:rPr>
  </w:style>
  <w:style w:type="paragraph" w:customStyle="1" w:styleId="204">
    <w:name w:val="标准文件_引言三级条标题"/>
    <w:basedOn w:val="58"/>
    <w:next w:val="58"/>
    <w:qFormat/>
    <w:uiPriority w:val="0"/>
    <w:pPr>
      <w:numPr>
        <w:ilvl w:val="3"/>
        <w:numId w:val="8"/>
      </w:numPr>
      <w:spacing w:before="50" w:beforeLines="50" w:after="50" w:afterLines="50"/>
      <w:ind w:firstLineChars="0"/>
    </w:pPr>
    <w:rPr>
      <w:rFonts w:ascii="黑体" w:eastAsia="黑体"/>
    </w:rPr>
  </w:style>
  <w:style w:type="paragraph" w:customStyle="1" w:styleId="205">
    <w:name w:val="标准文件_引言四级条标题"/>
    <w:basedOn w:val="58"/>
    <w:next w:val="58"/>
    <w:qFormat/>
    <w:uiPriority w:val="0"/>
    <w:pPr>
      <w:numPr>
        <w:ilvl w:val="4"/>
        <w:numId w:val="8"/>
      </w:numPr>
      <w:spacing w:before="50" w:beforeLines="50" w:after="50" w:afterLines="50"/>
      <w:ind w:firstLineChars="0"/>
    </w:pPr>
    <w:rPr>
      <w:rFonts w:ascii="黑体" w:eastAsia="黑体"/>
    </w:rPr>
  </w:style>
  <w:style w:type="paragraph" w:customStyle="1" w:styleId="206">
    <w:name w:val="标准文件_引言五级条标题"/>
    <w:basedOn w:val="58"/>
    <w:next w:val="58"/>
    <w:qFormat/>
    <w:uiPriority w:val="0"/>
    <w:pPr>
      <w:numPr>
        <w:ilvl w:val="5"/>
        <w:numId w:val="8"/>
      </w:numPr>
      <w:spacing w:before="50" w:beforeLines="50" w:after="50" w:afterLines="50"/>
      <w:ind w:firstLineChars="0"/>
    </w:pPr>
    <w:rPr>
      <w:rFonts w:ascii="黑体" w:eastAsia="黑体"/>
    </w:rPr>
  </w:style>
  <w:style w:type="paragraph" w:customStyle="1" w:styleId="207">
    <w:name w:val="标准文件_注后"/>
    <w:basedOn w:val="58"/>
    <w:qFormat/>
    <w:uiPriority w:val="0"/>
    <w:pPr>
      <w:ind w:left="811" w:firstLine="0" w:firstLineChars="0"/>
    </w:pPr>
    <w:rPr>
      <w:sz w:val="18"/>
    </w:rPr>
  </w:style>
  <w:style w:type="paragraph" w:customStyle="1" w:styleId="208">
    <w:name w:val="标准文件_注X后"/>
    <w:basedOn w:val="58"/>
    <w:qFormat/>
    <w:uiPriority w:val="0"/>
    <w:pPr>
      <w:ind w:left="811" w:firstLine="0" w:firstLineChars="0"/>
    </w:pPr>
    <w:rPr>
      <w:sz w:val="18"/>
    </w:rPr>
  </w:style>
  <w:style w:type="paragraph" w:customStyle="1" w:styleId="209">
    <w:name w:val="标准文件_示例后"/>
    <w:basedOn w:val="58"/>
    <w:qFormat/>
    <w:uiPriority w:val="0"/>
    <w:pPr>
      <w:ind w:left="964" w:firstLine="0" w:firstLineChars="0"/>
    </w:pPr>
    <w:rPr>
      <w:sz w:val="18"/>
    </w:rPr>
  </w:style>
  <w:style w:type="paragraph" w:customStyle="1" w:styleId="210">
    <w:name w:val="标准文件_示例X后"/>
    <w:basedOn w:val="58"/>
    <w:link w:val="211"/>
    <w:qFormat/>
    <w:uiPriority w:val="0"/>
    <w:pPr>
      <w:ind w:left="1049" w:firstLine="0" w:firstLineChars="0"/>
    </w:pPr>
    <w:rPr>
      <w:sz w:val="18"/>
    </w:rPr>
  </w:style>
  <w:style w:type="character" w:customStyle="1" w:styleId="211">
    <w:name w:val="标准文件_示例X后 字符"/>
    <w:basedOn w:val="186"/>
    <w:link w:val="210"/>
    <w:qFormat/>
    <w:uiPriority w:val="0"/>
    <w:rPr>
      <w:rFonts w:ascii="宋体" w:hAnsi="Times New Roman"/>
      <w:sz w:val="18"/>
    </w:rPr>
  </w:style>
  <w:style w:type="paragraph" w:customStyle="1" w:styleId="212">
    <w:name w:val="标准文件_索引项"/>
    <w:basedOn w:val="58"/>
    <w:next w:val="58"/>
    <w:qFormat/>
    <w:uiPriority w:val="0"/>
    <w:pPr>
      <w:tabs>
        <w:tab w:val="right" w:leader="dot" w:pos="9356"/>
      </w:tabs>
      <w:ind w:left="210" w:hanging="210" w:firstLineChars="0"/>
      <w:jc w:val="left"/>
    </w:pPr>
  </w:style>
  <w:style w:type="paragraph" w:customStyle="1" w:styleId="213">
    <w:name w:val="标准文件_附录一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二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三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四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五级无标题"/>
    <w:basedOn w:val="86"/>
    <w:qFormat/>
    <w:uiPriority w:val="0"/>
    <w:pPr>
      <w:spacing w:before="0" w:beforeLines="0" w:after="0" w:afterLines="0" w:line="276" w:lineRule="auto"/>
      <w:outlineLvl w:val="9"/>
    </w:pPr>
    <w:rPr>
      <w:rFonts w:ascii="宋体" w:eastAsia="宋体"/>
    </w:rPr>
  </w:style>
  <w:style w:type="paragraph" w:customStyle="1" w:styleId="218">
    <w:name w:val="标准文件_引言一级无标题"/>
    <w:basedOn w:val="202"/>
    <w:next w:val="58"/>
    <w:qFormat/>
    <w:uiPriority w:val="0"/>
    <w:pPr>
      <w:spacing w:before="0" w:beforeLines="0" w:after="0" w:afterLines="0" w:line="276" w:lineRule="auto"/>
    </w:pPr>
    <w:rPr>
      <w:rFonts w:ascii="宋体" w:eastAsia="宋体"/>
    </w:rPr>
  </w:style>
  <w:style w:type="paragraph" w:customStyle="1" w:styleId="219">
    <w:name w:val="标准文件_引言二级无标题"/>
    <w:basedOn w:val="203"/>
    <w:next w:val="58"/>
    <w:qFormat/>
    <w:uiPriority w:val="0"/>
    <w:pPr>
      <w:spacing w:before="0" w:beforeLines="0" w:after="0" w:afterLines="0" w:line="276" w:lineRule="auto"/>
    </w:pPr>
    <w:rPr>
      <w:rFonts w:ascii="宋体" w:eastAsia="宋体"/>
    </w:rPr>
  </w:style>
  <w:style w:type="paragraph" w:customStyle="1" w:styleId="220">
    <w:name w:val="标准文件_引言三级无标题"/>
    <w:basedOn w:val="204"/>
    <w:qFormat/>
    <w:uiPriority w:val="0"/>
    <w:pPr>
      <w:spacing w:before="0" w:beforeLines="0" w:after="0" w:afterLines="0" w:line="276" w:lineRule="auto"/>
    </w:pPr>
    <w:rPr>
      <w:rFonts w:ascii="宋体" w:eastAsia="宋体"/>
    </w:rPr>
  </w:style>
  <w:style w:type="paragraph" w:customStyle="1" w:styleId="221">
    <w:name w:val="标准文件_引言四级无标题"/>
    <w:basedOn w:val="205"/>
    <w:next w:val="58"/>
    <w:qFormat/>
    <w:uiPriority w:val="0"/>
    <w:pPr>
      <w:spacing w:before="0" w:beforeLines="0" w:after="0" w:afterLines="0" w:line="276" w:lineRule="auto"/>
    </w:pPr>
    <w:rPr>
      <w:rFonts w:ascii="宋体" w:eastAsia="宋体"/>
    </w:rPr>
  </w:style>
  <w:style w:type="paragraph" w:customStyle="1" w:styleId="222">
    <w:name w:val="标准文件_引言五级无标题"/>
    <w:basedOn w:val="206"/>
    <w:next w:val="58"/>
    <w:qFormat/>
    <w:uiPriority w:val="0"/>
    <w:pPr>
      <w:spacing w:before="0" w:beforeLines="0" w:after="0" w:afterLines="0" w:line="276" w:lineRule="auto"/>
    </w:pPr>
    <w:rPr>
      <w:rFonts w:ascii="宋体" w:eastAsia="宋体"/>
    </w:rPr>
  </w:style>
  <w:style w:type="paragraph" w:customStyle="1" w:styleId="223">
    <w:name w:val="标准文件_索引标题"/>
    <w:basedOn w:val="65"/>
    <w:next w:val="58"/>
    <w:qFormat/>
    <w:uiPriority w:val="0"/>
    <w:rPr>
      <w:rFonts w:hAnsi="黑体"/>
    </w:rPr>
  </w:style>
  <w:style w:type="paragraph" w:customStyle="1" w:styleId="224">
    <w:name w:val="标准文件_脚注内容"/>
    <w:basedOn w:val="58"/>
    <w:qFormat/>
    <w:uiPriority w:val="0"/>
    <w:pPr>
      <w:ind w:left="400" w:leftChars="200" w:hanging="200" w:hangingChars="200"/>
    </w:pPr>
    <w:rPr>
      <w:sz w:val="15"/>
    </w:rPr>
  </w:style>
  <w:style w:type="paragraph" w:customStyle="1" w:styleId="225">
    <w:name w:val="标准文件_术语条一"/>
    <w:basedOn w:val="164"/>
    <w:next w:val="58"/>
    <w:qFormat/>
    <w:uiPriority w:val="0"/>
  </w:style>
  <w:style w:type="paragraph" w:customStyle="1" w:styleId="226">
    <w:name w:val="标准文件_术语条二"/>
    <w:basedOn w:val="167"/>
    <w:next w:val="58"/>
    <w:qFormat/>
    <w:uiPriority w:val="0"/>
  </w:style>
  <w:style w:type="paragraph" w:customStyle="1" w:styleId="227">
    <w:name w:val="标准文件_术语条三"/>
    <w:basedOn w:val="166"/>
    <w:next w:val="58"/>
    <w:qFormat/>
    <w:uiPriority w:val="0"/>
  </w:style>
  <w:style w:type="paragraph" w:customStyle="1" w:styleId="228">
    <w:name w:val="标准文件_术语条四"/>
    <w:basedOn w:val="169"/>
    <w:next w:val="58"/>
    <w:qFormat/>
    <w:uiPriority w:val="0"/>
  </w:style>
  <w:style w:type="paragraph" w:customStyle="1" w:styleId="229">
    <w:name w:val="标准文件_术语条五"/>
    <w:basedOn w:val="165"/>
    <w:next w:val="58"/>
    <w:qFormat/>
    <w:uiPriority w:val="0"/>
  </w:style>
  <w:style w:type="paragraph" w:customStyle="1" w:styleId="230">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1">
    <w:name w:val="发布"/>
    <w:basedOn w:val="30"/>
    <w:qFormat/>
    <w:uiPriority w:val="0"/>
    <w:rPr>
      <w:rFonts w:ascii="黑体" w:eastAsia="黑体"/>
      <w:spacing w:val="85"/>
      <w:w w:val="100"/>
      <w:position w:val="3"/>
      <w:sz w:val="28"/>
      <w:szCs w:val="28"/>
    </w:rPr>
  </w:style>
  <w:style w:type="paragraph" w:customStyle="1" w:styleId="232">
    <w:name w:val="段"/>
    <w:basedOn w:val="1"/>
    <w:qFormat/>
    <w:uiPriority w:val="0"/>
    <w:pPr>
      <w:widowControl/>
      <w:autoSpaceDE w:val="0"/>
      <w:autoSpaceDN w:val="0"/>
      <w:adjustRightInd/>
      <w:spacing w:line="240" w:lineRule="auto"/>
      <w:ind w:firstLine="420" w:firstLineChars="200"/>
    </w:pPr>
    <w:rPr>
      <w:rFonts w:ascii="宋体" w:hAnsi="Times New Roman"/>
      <w:kern w:val="0"/>
    </w:rPr>
  </w:style>
  <w:style w:type="paragraph" w:customStyle="1" w:styleId="233">
    <w:name w:val="一级条标题"/>
    <w:basedOn w:val="1"/>
    <w:next w:val="1"/>
    <w:qFormat/>
    <w:uiPriority w:val="0"/>
    <w:pPr>
      <w:widowControl/>
      <w:adjustRightInd/>
      <w:spacing w:beforeLines="50" w:afterLines="50" w:line="240" w:lineRule="auto"/>
      <w:jc w:val="left"/>
      <w:outlineLvl w:val="2"/>
    </w:pPr>
    <w:rPr>
      <w:rFonts w:ascii="黑体" w:hAnsi="Times New Roman" w:eastAsia="黑体"/>
      <w:kern w:val="0"/>
    </w:rPr>
  </w:style>
  <w:style w:type="paragraph" w:customStyle="1" w:styleId="234">
    <w:name w:val="二级无"/>
    <w:basedOn w:val="1"/>
    <w:qFormat/>
    <w:uiPriority w:val="0"/>
    <w:pPr>
      <w:widowControl/>
      <w:adjustRightInd/>
      <w:spacing w:line="240" w:lineRule="auto"/>
      <w:jc w:val="left"/>
      <w:outlineLvl w:val="3"/>
    </w:pPr>
    <w:rPr>
      <w:rFonts w:ascii="宋体" w:hAnsi="Times New Roman"/>
      <w:kern w:val="0"/>
    </w:rPr>
  </w:style>
  <w:style w:type="paragraph" w:customStyle="1" w:styleId="235">
    <w:name w:val="一级无"/>
    <w:basedOn w:val="233"/>
    <w:qFormat/>
    <w:uiPriority w:val="0"/>
    <w:pPr>
      <w:spacing w:beforeLines="0" w:afterLines="0"/>
    </w:pPr>
    <w:rPr>
      <w:rFonts w:ascii="宋体" w:eastAsia="宋体"/>
    </w:rPr>
  </w:style>
  <w:style w:type="paragraph" w:customStyle="1" w:styleId="236">
    <w:name w:val="章标题"/>
    <w:basedOn w:val="1"/>
    <w:next w:val="1"/>
    <w:qFormat/>
    <w:uiPriority w:val="0"/>
    <w:pPr>
      <w:widowControl/>
      <w:adjustRightInd/>
      <w:spacing w:beforeLines="100" w:afterLines="100" w:line="240" w:lineRule="auto"/>
      <w:outlineLvl w:val="1"/>
    </w:pPr>
    <w:rPr>
      <w:rFonts w:ascii="黑体" w:hAnsi="Times New Roman" w:eastAsia="黑体"/>
      <w:kern w:val="0"/>
    </w:rPr>
  </w:style>
  <w:style w:type="character" w:customStyle="1" w:styleId="237">
    <w:name w:val="15"/>
    <w:basedOn w:val="30"/>
    <w:qFormat/>
    <w:uiPriority w:val="0"/>
    <w:rPr>
      <w:rFonts w:hint="eastAsia" w:ascii="宋体" w:hAnsi="宋体" w:eastAsia="宋体"/>
      <w:kern w:val="2"/>
      <w:sz w:val="24"/>
      <w:szCs w:val="24"/>
    </w:rPr>
  </w:style>
  <w:style w:type="paragraph" w:customStyle="1" w:styleId="238">
    <w:name w:val="三级条标题"/>
    <w:basedOn w:val="1"/>
    <w:next w:val="1"/>
    <w:qFormat/>
    <w:uiPriority w:val="0"/>
    <w:pPr>
      <w:widowControl/>
      <w:adjustRightInd/>
      <w:spacing w:beforeLines="50" w:afterLines="50" w:line="240" w:lineRule="auto"/>
      <w:jc w:val="left"/>
      <w:outlineLvl w:val="4"/>
    </w:pPr>
    <w:rPr>
      <w:rFonts w:ascii="黑体" w:hAnsi="Times New Roman" w:eastAsia="黑体"/>
      <w:kern w:val="0"/>
    </w:rPr>
  </w:style>
  <w:style w:type="paragraph" w:customStyle="1" w:styleId="239">
    <w:name w:val="字母编号列项（一级）"/>
    <w:basedOn w:val="1"/>
    <w:qFormat/>
    <w:uiPriority w:val="0"/>
    <w:pPr>
      <w:widowControl/>
      <w:adjustRightInd/>
      <w:spacing w:before="100" w:beforeAutospacing="1" w:after="100" w:afterAutospacing="1" w:line="240" w:lineRule="auto"/>
      <w:ind w:left="839" w:hanging="419"/>
    </w:pPr>
    <w:rPr>
      <w:rFonts w:ascii="宋体" w:hAnsi="Times New Roman"/>
      <w:kern w:val="0"/>
    </w:rPr>
  </w:style>
  <w:style w:type="paragraph" w:customStyle="1" w:styleId="240">
    <w:name w:val="二级条标题"/>
    <w:basedOn w:val="233"/>
    <w:next w:val="232"/>
    <w:qFormat/>
    <w:uiPriority w:val="0"/>
    <w:pPr>
      <w:outlineLvl w:val="3"/>
    </w:pPr>
  </w:style>
  <w:style w:type="paragraph" w:customStyle="1" w:styleId="241">
    <w:name w:val="四级条标题"/>
    <w:basedOn w:val="238"/>
    <w:next w:val="232"/>
    <w:qFormat/>
    <w:uiPriority w:val="0"/>
    <w:pPr>
      <w:outlineLvl w:val="5"/>
    </w:pPr>
  </w:style>
  <w:style w:type="paragraph" w:customStyle="1" w:styleId="242">
    <w:name w:val="四级无"/>
    <w:basedOn w:val="241"/>
    <w:qFormat/>
    <w:uiPriority w:val="0"/>
    <w:pPr>
      <w:spacing w:beforeLines="0" w:afterLines="0"/>
    </w:pPr>
    <w:rPr>
      <w:rFonts w:ascii="宋体" w:eastAsia="宋体"/>
    </w:rPr>
  </w:style>
  <w:style w:type="paragraph" w:customStyle="1" w:styleId="243">
    <w:name w:val="三级无"/>
    <w:basedOn w:val="238"/>
    <w:qFormat/>
    <w:uiPriority w:val="0"/>
    <w:pPr>
      <w:spacing w:beforeLines="0" w:afterLines="0"/>
    </w:pPr>
    <w:rPr>
      <w:rFonts w:ascii="宋体" w:eastAsia="宋体"/>
    </w:rPr>
  </w:style>
  <w:style w:type="paragraph" w:customStyle="1" w:styleId="244">
    <w:name w:val="附录章标题"/>
    <w:basedOn w:val="1"/>
    <w:next w:val="232"/>
    <w:qFormat/>
    <w:uiPriority w:val="0"/>
    <w:pPr>
      <w:widowControl/>
      <w:wordWrap w:val="0"/>
      <w:overflowPunct w:val="0"/>
      <w:adjustRightInd/>
      <w:spacing w:beforeLines="100" w:afterLines="100" w:line="240" w:lineRule="auto"/>
      <w:textAlignment w:val="baseline"/>
      <w:outlineLvl w:val="1"/>
    </w:pPr>
    <w:rPr>
      <w:rFonts w:ascii="黑体" w:hAnsi="Times New Roman" w:eastAsia="黑体"/>
      <w:kern w:val="21"/>
    </w:rPr>
  </w:style>
  <w:style w:type="paragraph" w:customStyle="1" w:styleId="245">
    <w:name w:val="附录公式编号制表符"/>
    <w:basedOn w:val="1"/>
    <w:next w:val="232"/>
    <w:qFormat/>
    <w:uiPriority w:val="0"/>
    <w:pPr>
      <w:widowControl/>
      <w:autoSpaceDE w:val="0"/>
      <w:autoSpaceDN w:val="0"/>
      <w:adjustRightInd/>
      <w:spacing w:line="240" w:lineRule="auto"/>
    </w:pPr>
    <w:rPr>
      <w:rFonts w:ascii="宋体" w:hAnsi="Times New Roman"/>
      <w:kern w:val="0"/>
    </w:rPr>
  </w:style>
  <w:style w:type="paragraph" w:customStyle="1" w:styleId="246">
    <w:name w:val="正文公式编号制表符"/>
    <w:basedOn w:val="232"/>
    <w:next w:val="232"/>
    <w:qFormat/>
    <w:uiPriority w:val="0"/>
    <w:pPr>
      <w:ind w:firstLine="0" w:firstLineChars="0"/>
    </w:pPr>
  </w:style>
  <w:style w:type="paragraph" w:customStyle="1" w:styleId="247">
    <w:name w:val="数字编号列项（二级）"/>
    <w:basedOn w:val="1"/>
    <w:qFormat/>
    <w:uiPriority w:val="0"/>
    <w:pPr>
      <w:widowControl/>
      <w:adjustRightInd/>
      <w:spacing w:before="100" w:beforeAutospacing="1" w:after="100" w:afterAutospacing="1" w:line="240" w:lineRule="auto"/>
      <w:ind w:left="1259" w:hanging="419"/>
    </w:pPr>
    <w:rPr>
      <w:rFonts w:ascii="宋体" w:hAnsi="Times New Roman"/>
      <w:kern w:val="0"/>
    </w:rPr>
  </w:style>
  <w:style w:type="paragraph" w:customStyle="1" w:styleId="248">
    <w:name w:val="附录一级条标题"/>
    <w:basedOn w:val="244"/>
    <w:next w:val="232"/>
    <w:qFormat/>
    <w:uiPriority w:val="0"/>
    <w:pPr>
      <w:autoSpaceDE w:val="0"/>
      <w:autoSpaceDN w:val="0"/>
      <w:spacing w:beforeLines="50" w:afterLines="50"/>
      <w:outlineLvl w:val="2"/>
    </w:pPr>
  </w:style>
  <w:style w:type="paragraph" w:customStyle="1" w:styleId="249">
    <w:name w:val="附录二级条标题"/>
    <w:basedOn w:val="1"/>
    <w:next w:val="232"/>
    <w:qFormat/>
    <w:uiPriority w:val="0"/>
    <w:pPr>
      <w:widowControl/>
      <w:wordWrap w:val="0"/>
      <w:overflowPunct w:val="0"/>
      <w:autoSpaceDE w:val="0"/>
      <w:autoSpaceDN w:val="0"/>
      <w:adjustRightInd/>
      <w:spacing w:beforeLines="50" w:afterLines="50" w:line="240" w:lineRule="auto"/>
      <w:textAlignment w:val="baseline"/>
      <w:outlineLvl w:val="3"/>
    </w:pPr>
    <w:rPr>
      <w:rFonts w:ascii="黑体" w:hAnsi="Times New Roman" w:eastAsia="黑体"/>
      <w:kern w:val="21"/>
    </w:rPr>
  </w:style>
  <w:style w:type="paragraph" w:customStyle="1" w:styleId="250">
    <w:name w:val="附录三级无"/>
    <w:basedOn w:val="1"/>
    <w:qFormat/>
    <w:uiPriority w:val="0"/>
    <w:pPr>
      <w:widowControl/>
      <w:wordWrap w:val="0"/>
      <w:overflowPunct w:val="0"/>
      <w:autoSpaceDE w:val="0"/>
      <w:autoSpaceDN w:val="0"/>
      <w:adjustRightInd/>
      <w:spacing w:line="240" w:lineRule="auto"/>
      <w:textAlignment w:val="baseline"/>
      <w:outlineLvl w:val="4"/>
    </w:pPr>
    <w:rPr>
      <w:rFonts w:ascii="宋体" w:hAnsi="Times New Roman"/>
      <w:kern w:val="21"/>
    </w:rPr>
  </w:style>
  <w:style w:type="paragraph" w:customStyle="1" w:styleId="251">
    <w:name w:val="附录一级无"/>
    <w:basedOn w:val="1"/>
    <w:qFormat/>
    <w:uiPriority w:val="0"/>
    <w:pPr>
      <w:widowControl/>
      <w:wordWrap w:val="0"/>
      <w:overflowPunct w:val="0"/>
      <w:autoSpaceDE w:val="0"/>
      <w:autoSpaceDN w:val="0"/>
      <w:adjustRightInd/>
      <w:spacing w:line="240" w:lineRule="auto"/>
      <w:textAlignment w:val="baseline"/>
      <w:outlineLvl w:val="2"/>
    </w:pPr>
    <w:rPr>
      <w:rFonts w:ascii="宋体" w:hAnsi="Times New Roman"/>
      <w:kern w:val="21"/>
    </w:rPr>
  </w:style>
  <w:style w:type="paragraph" w:customStyle="1" w:styleId="252">
    <w:name w:val="Revision"/>
    <w:hidden/>
    <w:unhideWhenUsed/>
    <w:qFormat/>
    <w:uiPriority w:val="99"/>
    <w:rPr>
      <w:rFonts w:ascii="Calibri" w:hAnsi="Calibri" w:eastAsia="宋体" w:cs="Times New Roman"/>
      <w:kern w:val="2"/>
      <w:sz w:val="21"/>
      <w:szCs w:val="21"/>
      <w:lang w:val="en-US" w:eastAsia="zh-CN" w:bidi="ar-SA"/>
    </w:rPr>
  </w:style>
  <w:style w:type="paragraph" w:customStyle="1" w:styleId="253">
    <w:name w:val="正文图标题"/>
    <w:basedOn w:val="1"/>
    <w:next w:val="1"/>
    <w:qFormat/>
    <w:uiPriority w:val="0"/>
    <w:pPr>
      <w:widowControl/>
      <w:tabs>
        <w:tab w:val="left" w:pos="360"/>
      </w:tabs>
      <w:adjustRightInd/>
      <w:spacing w:beforeLines="50" w:afterLines="50" w:line="240" w:lineRule="auto"/>
      <w:jc w:val="center"/>
    </w:pPr>
    <w:rPr>
      <w:rFonts w:ascii="黑体" w:hAnsi="Times New Roman" w:eastAsia="黑体"/>
      <w:kern w:val="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4" Type="http://schemas.openxmlformats.org/officeDocument/2006/relationships/glossaryDocument" Target="glossary/document.xml"/><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6.jpeg"/><Relationship Id="rId28" Type="http://schemas.openxmlformats.org/officeDocument/2006/relationships/image" Target="media/image5.png"/><Relationship Id="rId27" Type="http://schemas.openxmlformats.org/officeDocument/2006/relationships/image" Target="media/image4.png"/><Relationship Id="rId26" Type="http://schemas.openxmlformats.org/officeDocument/2006/relationships/image" Target="media/image3.png"/><Relationship Id="rId25" Type="http://schemas.openxmlformats.org/officeDocument/2006/relationships/image" Target="media/image2.png"/><Relationship Id="rId24" Type="http://schemas.openxmlformats.org/officeDocument/2006/relationships/image" Target="media/image1.tiff"/><Relationship Id="rId23" Type="http://schemas.openxmlformats.org/officeDocument/2006/relationships/theme" Target="theme/theme1.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687D4555A03943F784E91CF1966CA724"/>
        <w:style w:val=""/>
        <w:category>
          <w:name w:val="常规"/>
          <w:gallery w:val="placeholder"/>
        </w:category>
        <w:types>
          <w:type w:val="bbPlcHdr"/>
        </w:types>
        <w:behaviors>
          <w:behavior w:val="content"/>
        </w:behaviors>
        <w:description w:val=""/>
        <w:guid w:val="{377966D1-69AF-408D-BFEF-225F6BC5B5DD}"/>
      </w:docPartPr>
      <w:docPartBody>
        <w:p w14:paraId="15FA2803">
          <w:pPr>
            <w:pStyle w:val="5"/>
            <w:rPr>
              <w:rFonts w:hint="eastAsia"/>
            </w:rPr>
          </w:pPr>
          <w:r>
            <w:rPr>
              <w:rStyle w:val="4"/>
              <w:rFonts w:hint="eastAsia"/>
            </w:rPr>
            <w:t>单击或点击此处输入文字。</w:t>
          </w:r>
        </w:p>
      </w:docPartBody>
    </w:docPart>
    <w:docPart>
      <w:docPartPr>
        <w:name w:val="D9864D4125EA46C390CE10CC79235E47"/>
        <w:style w:val=""/>
        <w:category>
          <w:name w:val="常规"/>
          <w:gallery w:val="placeholder"/>
        </w:category>
        <w:types>
          <w:type w:val="bbPlcHdr"/>
        </w:types>
        <w:behaviors>
          <w:behavior w:val="content"/>
        </w:behaviors>
        <w:description w:val=""/>
        <w:guid w:val="{950C0702-35BA-4BFC-ADC5-6A82F4D986B0}"/>
      </w:docPartPr>
      <w:docPartBody>
        <w:p w14:paraId="5A106B87">
          <w:pPr>
            <w:pStyle w:val="6"/>
            <w:rPr>
              <w:rFonts w:hint="eastAsia"/>
            </w:rPr>
          </w:pPr>
          <w:r>
            <w:rPr>
              <w:rStyle w:val="4"/>
              <w:rFonts w:hint="eastAsia"/>
            </w:rPr>
            <w:t>选择一项。</w:t>
          </w:r>
        </w:p>
      </w:docPartBody>
    </w:docPart>
    <w:docPart>
      <w:docPartPr>
        <w:name w:val="5BBF1B5E7A9F4B27969268CF7DA3CC43"/>
        <w:style w:val=""/>
        <w:category>
          <w:name w:val="常规"/>
          <w:gallery w:val="placeholder"/>
        </w:category>
        <w:types>
          <w:type w:val="bbPlcHdr"/>
        </w:types>
        <w:behaviors>
          <w:behavior w:val="content"/>
        </w:behaviors>
        <w:description w:val=""/>
        <w:guid w:val="{D529C149-4BE3-4815-AF82-3A20FEE7D554}"/>
      </w:docPartPr>
      <w:docPartBody>
        <w:p w14:paraId="5BB7A48B">
          <w:pPr>
            <w:pStyle w:val="7"/>
            <w:rPr>
              <w:rFonts w:hint="eastAsia"/>
            </w:rPr>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4EBF"/>
    <w:rsid w:val="00004EBF"/>
    <w:rsid w:val="009D438B"/>
    <w:rsid w:val="00C45DB4"/>
    <w:rsid w:val="00C90628"/>
    <w:rsid w:val="00EB7282"/>
    <w:rsid w:val="00F057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687D4555A03943F784E91CF1966CA72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D9864D4125EA46C390CE10CC79235E4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5BBF1B5E7A9F4B27969268CF7DA3CC4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44CF061-883B-41B7-A2C7-781FAA340E61}">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13</Pages>
  <Words>2974</Words>
  <Characters>3741</Characters>
  <Lines>304</Lines>
  <Paragraphs>404</Paragraphs>
  <TotalTime>184</TotalTime>
  <ScaleCrop>false</ScaleCrop>
  <LinksUpToDate>false</LinksUpToDate>
  <CharactersWithSpaces>3828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2024-09-05T07:14:00Z</dcterms:created>
  <dc:creator>水利工程研究室</dc:creator>
  <dc:description>&lt;config cover="true" show_menu="true" version="1.0.0" doctype="SDKXY"&gt;_x000d_
&lt;/config&gt;</dc:description>
  <cp:lastModifiedBy>泽</cp:lastModifiedBy>
  <cp:lastPrinted>2026-01-18T13:46:00Z</cp:lastPrinted>
  <dcterms:modified xsi:type="dcterms:W3CDTF">2026-01-19T00:45:44Z</dcterms:modified>
  <dc:title>地方标准</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2052-12.1.0.24657</vt:lpwstr>
  </property>
  <property fmtid="{D5CDD505-2E9C-101B-9397-08002B2CF9AE}" pid="16" name="ICV">
    <vt:lpwstr>3FE432BE3B9D4704929706B460EAF79C_13</vt:lpwstr>
  </property>
  <property fmtid="{D5CDD505-2E9C-101B-9397-08002B2CF9AE}" pid="17" name="KSOTemplateDocerSaveRecord">
    <vt:lpwstr>eyJoZGlkIjoiZTYwMzk1NzU0YWY4YTMyZjVhMDgzN2Q3OTc2NDJkOWYiLCJ1c2VySWQiOiI0OTIxMTcwNzQifQ==</vt:lpwstr>
  </property>
</Properties>
</file>